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1411D932" w14:textId="77777777" w:rsidTr="00DE264A">
        <w:trPr>
          <w:trHeight w:val="852"/>
          <w:jc w:val="center"/>
        </w:trPr>
        <w:tc>
          <w:tcPr>
            <w:tcW w:w="6946" w:type="dxa"/>
            <w:vMerge w:val="restart"/>
            <w:tcBorders>
              <w:right w:val="single" w:sz="4" w:space="0" w:color="auto"/>
            </w:tcBorders>
          </w:tcPr>
          <w:p w14:paraId="4D3C8A15" w14:textId="77777777" w:rsidR="000A03B2" w:rsidRPr="00B57B36" w:rsidRDefault="000A03B2" w:rsidP="00DE264A">
            <w:pPr>
              <w:tabs>
                <w:tab w:val="left" w:pos="-108"/>
              </w:tabs>
              <w:ind w:left="-108"/>
              <w:jc w:val="left"/>
              <w:rPr>
                <w:b/>
                <w:bCs/>
                <w:i/>
                <w:iCs/>
                <w:color w:val="000066"/>
                <w:sz w:val="12"/>
                <w:szCs w:val="12"/>
                <w:lang w:eastAsia="it-IT"/>
              </w:rPr>
            </w:pPr>
            <w:r w:rsidRPr="00B57B36">
              <w:rPr>
                <w:rFonts w:ascii="AdvP6960" w:hAnsi="AdvP6960" w:cs="AdvP6960"/>
                <w:noProof/>
                <w:color w:val="241F20"/>
                <w:szCs w:val="18"/>
                <w:lang w:val="en-US"/>
              </w:rPr>
              <w:drawing>
                <wp:inline distT="0" distB="0" distL="0" distR="0" wp14:anchorId="6D01F19C" wp14:editId="7E9EEF98">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b/>
                <w:bCs/>
                <w:i/>
                <w:iCs/>
                <w:color w:val="000066"/>
                <w:sz w:val="24"/>
                <w:szCs w:val="24"/>
                <w:lang w:eastAsia="it-IT"/>
              </w:rPr>
              <w:t>CHEMICAL ENGINEERING</w:t>
            </w:r>
            <w:r w:rsidRPr="00B57B36">
              <w:rPr>
                <w:b/>
                <w:bCs/>
                <w:i/>
                <w:iCs/>
                <w:color w:val="0033FF"/>
                <w:sz w:val="24"/>
                <w:szCs w:val="24"/>
                <w:lang w:eastAsia="it-IT"/>
              </w:rPr>
              <w:t xml:space="preserve"> </w:t>
            </w:r>
            <w:r w:rsidRPr="00B57B36">
              <w:rPr>
                <w:b/>
                <w:bCs/>
                <w:i/>
                <w:iCs/>
                <w:color w:val="666666"/>
                <w:sz w:val="24"/>
                <w:szCs w:val="24"/>
                <w:lang w:eastAsia="it-IT"/>
              </w:rPr>
              <w:t>TRANSACTIONS</w:t>
            </w:r>
            <w:r w:rsidRPr="00B57B36">
              <w:rPr>
                <w:color w:val="333333"/>
                <w:sz w:val="24"/>
                <w:szCs w:val="24"/>
                <w:lang w:eastAsia="it-IT"/>
              </w:rPr>
              <w:t xml:space="preserve"> </w:t>
            </w:r>
            <w:r w:rsidRPr="00B57B36">
              <w:rPr>
                <w:b/>
                <w:bCs/>
                <w:i/>
                <w:iCs/>
                <w:color w:val="000066"/>
                <w:sz w:val="27"/>
                <w:szCs w:val="27"/>
                <w:lang w:eastAsia="it-IT"/>
              </w:rPr>
              <w:br/>
            </w:r>
          </w:p>
          <w:p w14:paraId="268A17F4" w14:textId="77777777" w:rsidR="000A03B2" w:rsidRPr="00B57B36" w:rsidRDefault="00A76EFC" w:rsidP="001D21AF">
            <w:pPr>
              <w:tabs>
                <w:tab w:val="left" w:pos="-108"/>
              </w:tabs>
              <w:ind w:left="-108"/>
              <w:rPr>
                <w:b/>
                <w:bCs/>
                <w:i/>
                <w:iCs/>
                <w:color w:val="000066"/>
                <w:sz w:val="22"/>
                <w:szCs w:val="22"/>
                <w:lang w:eastAsia="it-IT"/>
              </w:rPr>
            </w:pPr>
            <w:r w:rsidRPr="00B57B36">
              <w:rPr>
                <w:b/>
                <w:bCs/>
                <w:i/>
                <w:iCs/>
                <w:color w:val="000066"/>
                <w:sz w:val="22"/>
                <w:szCs w:val="22"/>
                <w:lang w:eastAsia="it-IT"/>
              </w:rPr>
              <w:t xml:space="preserve">VOL. </w:t>
            </w:r>
            <w:r w:rsidR="0030152C">
              <w:rPr>
                <w:b/>
                <w:bCs/>
                <w:i/>
                <w:iCs/>
                <w:color w:val="000066"/>
                <w:sz w:val="22"/>
                <w:szCs w:val="22"/>
                <w:lang w:eastAsia="it-IT"/>
              </w:rPr>
              <w:t xml:space="preserve">   </w:t>
            </w:r>
            <w:r w:rsidR="007B48F9">
              <w:rPr>
                <w:b/>
                <w:bCs/>
                <w:i/>
                <w:iCs/>
                <w:color w:val="000066"/>
                <w:sz w:val="22"/>
                <w:szCs w:val="22"/>
                <w:lang w:eastAsia="it-IT"/>
              </w:rPr>
              <w:t>,</w:t>
            </w:r>
            <w:r w:rsidR="00FA5F5F">
              <w:rPr>
                <w:b/>
                <w:bCs/>
                <w:i/>
                <w:iCs/>
                <w:color w:val="000066"/>
                <w:sz w:val="22"/>
                <w:szCs w:val="22"/>
                <w:lang w:eastAsia="it-IT"/>
              </w:rPr>
              <w:t xml:space="preserve"> </w:t>
            </w:r>
            <w:r w:rsidR="0030152C">
              <w:rPr>
                <w:b/>
                <w:bCs/>
                <w:i/>
                <w:iCs/>
                <w:color w:val="000066"/>
                <w:sz w:val="22"/>
                <w:szCs w:val="22"/>
                <w:lang w:eastAsia="it-IT"/>
              </w:rPr>
              <w:t>202</w:t>
            </w:r>
            <w:r w:rsidR="00C24AF1">
              <w:rPr>
                <w:b/>
                <w:bCs/>
                <w:i/>
                <w:iCs/>
                <w:color w:val="000066"/>
                <w:sz w:val="22"/>
                <w:szCs w:val="22"/>
                <w:lang w:eastAsia="it-IT"/>
              </w:rPr>
              <w:t>5</w:t>
            </w:r>
          </w:p>
        </w:tc>
        <w:tc>
          <w:tcPr>
            <w:tcW w:w="1843" w:type="dxa"/>
            <w:tcBorders>
              <w:left w:val="single" w:sz="4" w:space="0" w:color="auto"/>
              <w:bottom w:val="nil"/>
              <w:right w:val="single" w:sz="4" w:space="0" w:color="auto"/>
            </w:tcBorders>
          </w:tcPr>
          <w:p w14:paraId="1AC5BAB1" w14:textId="77777777" w:rsidR="000A03B2" w:rsidRPr="00B57B36" w:rsidRDefault="000A03B2" w:rsidP="00CD5FE2">
            <w:pPr>
              <w:spacing w:line="140" w:lineRule="atLeast"/>
              <w:jc w:val="right"/>
              <w:rPr>
                <w:sz w:val="14"/>
                <w:szCs w:val="14"/>
              </w:rPr>
            </w:pPr>
            <w:r w:rsidRPr="00B57B36">
              <w:rPr>
                <w:sz w:val="14"/>
                <w:szCs w:val="14"/>
              </w:rPr>
              <w:t>A publication of</w:t>
            </w:r>
          </w:p>
          <w:p w14:paraId="2E97E3FB" w14:textId="77777777" w:rsidR="000A03B2" w:rsidRPr="00B57B36" w:rsidRDefault="000A03B2" w:rsidP="00CD5FE2">
            <w:pPr>
              <w:jc w:val="right"/>
            </w:pPr>
            <w:r w:rsidRPr="00B57B36">
              <w:rPr>
                <w:noProof/>
                <w:lang w:val="en-US"/>
              </w:rPr>
              <w:drawing>
                <wp:inline distT="0" distB="0" distL="0" distR="0" wp14:anchorId="325A9939" wp14:editId="58B4F50D">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4BC91092" w14:textId="77777777" w:rsidTr="00DE264A">
        <w:trPr>
          <w:trHeight w:val="567"/>
          <w:jc w:val="center"/>
        </w:trPr>
        <w:tc>
          <w:tcPr>
            <w:tcW w:w="6946" w:type="dxa"/>
            <w:vMerge/>
            <w:tcBorders>
              <w:right w:val="single" w:sz="4" w:space="0" w:color="auto"/>
            </w:tcBorders>
          </w:tcPr>
          <w:p w14:paraId="0BC611CF"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8A5DFFB" w14:textId="77777777" w:rsidR="000A03B2" w:rsidRPr="00B57B36" w:rsidRDefault="000A03B2" w:rsidP="00CD5FE2">
            <w:pPr>
              <w:spacing w:line="140" w:lineRule="atLeast"/>
              <w:jc w:val="right"/>
              <w:rPr>
                <w:sz w:val="14"/>
                <w:szCs w:val="14"/>
              </w:rPr>
            </w:pPr>
            <w:r w:rsidRPr="00B57B36">
              <w:rPr>
                <w:sz w:val="14"/>
                <w:szCs w:val="14"/>
              </w:rPr>
              <w:t>The Italian Association</w:t>
            </w:r>
          </w:p>
          <w:p w14:paraId="1E8E795A" w14:textId="77777777" w:rsidR="000A03B2" w:rsidRPr="00B57B36" w:rsidRDefault="000A03B2" w:rsidP="00CD5FE2">
            <w:pPr>
              <w:spacing w:line="140" w:lineRule="atLeast"/>
              <w:jc w:val="right"/>
              <w:rPr>
                <w:sz w:val="14"/>
                <w:szCs w:val="14"/>
              </w:rPr>
            </w:pPr>
            <w:r w:rsidRPr="00B57B36">
              <w:rPr>
                <w:sz w:val="14"/>
                <w:szCs w:val="14"/>
              </w:rPr>
              <w:t>of Chemical Engineering</w:t>
            </w:r>
          </w:p>
          <w:p w14:paraId="5AD22B04" w14:textId="77777777" w:rsidR="000A03B2" w:rsidRPr="000D0268" w:rsidRDefault="000D0268" w:rsidP="00CD5FE2">
            <w:pPr>
              <w:spacing w:line="140" w:lineRule="atLeast"/>
              <w:jc w:val="right"/>
              <w:rPr>
                <w:sz w:val="13"/>
                <w:szCs w:val="13"/>
              </w:rPr>
            </w:pPr>
            <w:r w:rsidRPr="000D0268">
              <w:rPr>
                <w:sz w:val="13"/>
                <w:szCs w:val="13"/>
              </w:rPr>
              <w:t>Online at www.cetjournal.it</w:t>
            </w:r>
          </w:p>
        </w:tc>
      </w:tr>
      <w:tr w:rsidR="000A03B2" w:rsidRPr="00B57B36" w14:paraId="335AFA8D" w14:textId="77777777" w:rsidTr="00DE264A">
        <w:trPr>
          <w:trHeight w:val="68"/>
          <w:jc w:val="center"/>
        </w:trPr>
        <w:tc>
          <w:tcPr>
            <w:tcW w:w="8789" w:type="dxa"/>
            <w:gridSpan w:val="2"/>
          </w:tcPr>
          <w:p w14:paraId="7B8D7BE4" w14:textId="77777777"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7DD6C546" w14:textId="77777777"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557E00">
              <w:rPr>
                <w:rFonts w:ascii="Tahoma" w:hAnsi="Tahoma" w:cs="Tahoma"/>
                <w:sz w:val="14"/>
                <w:szCs w:val="14"/>
              </w:rPr>
              <w:t>XX</w:t>
            </w:r>
            <w:r w:rsidR="00D2582C">
              <w:rPr>
                <w:rFonts w:ascii="Tahoma" w:hAnsi="Tahoma" w:cs="Tahoma"/>
                <w:sz w:val="14"/>
                <w:szCs w:val="14"/>
              </w:rPr>
              <w:t>-</w:t>
            </w:r>
            <w:r w:rsidR="00557E00">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444AD142" w14:textId="77777777" w:rsidR="00E978D0" w:rsidRPr="00B57B36" w:rsidRDefault="00245686" w:rsidP="00E978D0">
      <w:pPr>
        <w:pStyle w:val="CETTitle"/>
      </w:pPr>
      <w:r>
        <w:t>Global S</w:t>
      </w:r>
      <w:r w:rsidRPr="00245686">
        <w:t xml:space="preserve">ynthesis </w:t>
      </w:r>
      <w:r>
        <w:t>M</w:t>
      </w:r>
      <w:r w:rsidRPr="00245686">
        <w:t xml:space="preserve">odel for </w:t>
      </w:r>
      <w:r>
        <w:t>H</w:t>
      </w:r>
      <w:r w:rsidRPr="00245686">
        <w:t xml:space="preserve">ydrogen </w:t>
      </w:r>
      <w:r>
        <w:t>P</w:t>
      </w:r>
      <w:r w:rsidRPr="00245686">
        <w:t xml:space="preserve">roduction </w:t>
      </w:r>
      <w:r>
        <w:t>S</w:t>
      </w:r>
      <w:r w:rsidRPr="00245686">
        <w:t xml:space="preserve">ystems and </w:t>
      </w:r>
      <w:r>
        <w:t>H</w:t>
      </w:r>
      <w:r w:rsidRPr="00245686">
        <w:t xml:space="preserve">igh </w:t>
      </w:r>
      <w:r>
        <w:t>V</w:t>
      </w:r>
      <w:r w:rsidRPr="00245686">
        <w:t xml:space="preserve">alue-added </w:t>
      </w:r>
      <w:r>
        <w:t>C</w:t>
      </w:r>
      <w:r w:rsidRPr="00245686">
        <w:t xml:space="preserve">ompounds from </w:t>
      </w:r>
      <w:r>
        <w:t>G</w:t>
      </w:r>
      <w:r w:rsidRPr="00245686">
        <w:t>lycerol</w:t>
      </w:r>
    </w:p>
    <w:p w14:paraId="054AA93F" w14:textId="77777777" w:rsidR="00B57E6F" w:rsidRPr="007139BF" w:rsidRDefault="00A6137A" w:rsidP="00B57E6F">
      <w:pPr>
        <w:pStyle w:val="CETAuthors"/>
        <w:rPr>
          <w:lang w:val="pt-BR"/>
        </w:rPr>
      </w:pPr>
      <w:r w:rsidRPr="007139BF">
        <w:rPr>
          <w:lang w:val="pt-BR"/>
        </w:rPr>
        <w:t>Tayla Luiza P</w:t>
      </w:r>
      <w:r w:rsidR="008A18ED" w:rsidRPr="007139BF">
        <w:rPr>
          <w:lang w:val="pt-BR"/>
        </w:rPr>
        <w:t xml:space="preserve">. </w:t>
      </w:r>
      <w:r w:rsidRPr="007139BF">
        <w:rPr>
          <w:lang w:val="pt-BR"/>
        </w:rPr>
        <w:t>Borges</w:t>
      </w:r>
      <w:r w:rsidR="008A18ED" w:rsidRPr="007139BF">
        <w:rPr>
          <w:vertAlign w:val="superscript"/>
          <w:lang w:val="pt-BR"/>
        </w:rPr>
        <w:t>*</w:t>
      </w:r>
      <w:r w:rsidR="00B57E6F" w:rsidRPr="007139BF">
        <w:rPr>
          <w:lang w:val="pt-BR"/>
        </w:rPr>
        <w:t xml:space="preserve">, </w:t>
      </w:r>
      <w:r w:rsidR="008A18ED" w:rsidRPr="007139BF">
        <w:rPr>
          <w:lang w:val="pt-BR"/>
        </w:rPr>
        <w:t>Reginaldo</w:t>
      </w:r>
      <w:r w:rsidR="00B57E6F" w:rsidRPr="007139BF">
        <w:rPr>
          <w:lang w:val="pt-BR"/>
        </w:rPr>
        <w:t xml:space="preserve"> </w:t>
      </w:r>
      <w:r w:rsidR="008A18ED" w:rsidRPr="007139BF">
        <w:rPr>
          <w:lang w:val="pt-BR"/>
        </w:rPr>
        <w:t>Guirardello</w:t>
      </w:r>
    </w:p>
    <w:p w14:paraId="1C4B8851" w14:textId="77777777" w:rsidR="00B57E6F" w:rsidRDefault="008A18ED" w:rsidP="008A18ED">
      <w:pPr>
        <w:pStyle w:val="CETAddress"/>
      </w:pPr>
      <w:r w:rsidRPr="008A18ED">
        <w:t>School of Chemical Engineering – Unicamp, Av. Albert Einstein 500, Campinas–SP, 13083-852, Brazil</w:t>
      </w:r>
    </w:p>
    <w:p w14:paraId="18B94845" w14:textId="77777777" w:rsidR="00681460" w:rsidRPr="009378F0" w:rsidRDefault="008A18ED" w:rsidP="00681460">
      <w:pPr>
        <w:pStyle w:val="CETemail"/>
      </w:pPr>
      <w:r>
        <w:t>t223350@dac.unicamp.br</w:t>
      </w:r>
    </w:p>
    <w:p w14:paraId="1716456D" w14:textId="77777777" w:rsidR="00600535" w:rsidRDefault="00A04FDE" w:rsidP="00600535">
      <w:pPr>
        <w:pStyle w:val="CETBodytext"/>
        <w:rPr>
          <w:lang w:val="en-GB"/>
        </w:rPr>
      </w:pPr>
      <w:r w:rsidRPr="00A04FDE">
        <w:rPr>
          <w:lang w:val="en-GB"/>
        </w:rPr>
        <w:t>The energy transition has driven the development of sustainable routes for hydrogen production, due to the dependence on fossil fuel-based methods and their high emissions. Glycerol, an abundant and low-cost by-product of the biodiesel industry, stands out as a promising feedstock for hydrogen generation and higher value-added products. This work proposes a global synthesis methodology, formulated as a linear programming model, to identify high-value products and hydrogen as a co-product, using purified glycerol and ensuring zero CO</w:t>
      </w:r>
      <w:r w:rsidRPr="00A04FDE">
        <w:rPr>
          <w:rFonts w:ascii="Cambria Math" w:hAnsi="Cambria Math" w:cs="Cambria Math"/>
          <w:lang w:val="en-GB"/>
        </w:rPr>
        <w:t>₂</w:t>
      </w:r>
      <w:r w:rsidRPr="00A04FDE">
        <w:rPr>
          <w:lang w:val="en-GB"/>
        </w:rPr>
        <w:t xml:space="preserve"> emissions. Eight scenarios were evaluated with the objective of maximizing the sale price, varying the </w:t>
      </w:r>
      <w:r w:rsidR="00584A0A" w:rsidRPr="00584A0A">
        <w:rPr>
          <w:lang w:val="en-GB"/>
        </w:rPr>
        <w:t xml:space="preserve">fixed hydrogen production </w:t>
      </w:r>
      <w:r w:rsidRPr="00A04FDE">
        <w:rPr>
          <w:lang w:val="en-GB"/>
        </w:rPr>
        <w:t>(nH</w:t>
      </w:r>
      <w:r w:rsidRPr="00A04FDE">
        <w:rPr>
          <w:rFonts w:ascii="Cambria Math" w:hAnsi="Cambria Math" w:cs="Cambria Math"/>
          <w:lang w:val="en-GB"/>
        </w:rPr>
        <w:t>₂</w:t>
      </w:r>
      <w:r w:rsidRPr="00A04FDE">
        <w:rPr>
          <w:lang w:val="en-GB"/>
        </w:rPr>
        <w:t xml:space="preserve">) and, in specific scenarios (4-8), applying additional restrictions on the use of raw materials. All scenarios met the imposed restrictions. Scenario 2 exhibited the best economic performance, with a selling price of US$ 30,960, an enthalpy of </w:t>
      </w:r>
      <w:r w:rsidRPr="00A04FDE">
        <w:rPr>
          <w:rFonts w:cs="Arial"/>
          <w:lang w:val="en-GB"/>
        </w:rPr>
        <w:t>–</w:t>
      </w:r>
      <w:r w:rsidRPr="00A04FDE">
        <w:rPr>
          <w:lang w:val="en-GB"/>
        </w:rPr>
        <w:t>18,600 kJ, and the production of glycolic acid (150 kmol) and hydrogen (100 kmol). Scenario 7 showed greater product diversity, including the formation of acrylonitrile (10 kmol) and higher hydrogen production (200 kmol), resulting in a financial return of US$ 21,240. Thus, the model demonstrated the ability to identify diverse and viable combinations for converting glycerol into industrially relevant compounds and hydrogen.</w:t>
      </w:r>
    </w:p>
    <w:p w14:paraId="4C722F94" w14:textId="77777777" w:rsidR="00600535" w:rsidRPr="00B57B36" w:rsidRDefault="00600535" w:rsidP="00600535">
      <w:pPr>
        <w:pStyle w:val="CETHeading1"/>
        <w:rPr>
          <w:lang w:val="en-GB"/>
        </w:rPr>
      </w:pPr>
      <w:r w:rsidRPr="00B57B36">
        <w:rPr>
          <w:lang w:val="en-GB"/>
        </w:rPr>
        <w:t>Introduction</w:t>
      </w:r>
    </w:p>
    <w:p w14:paraId="53981775" w14:textId="77777777" w:rsidR="00600535" w:rsidRDefault="00BF1FF1" w:rsidP="00600535">
      <w:pPr>
        <w:pStyle w:val="CETBodytext"/>
        <w:rPr>
          <w:lang w:val="en-GB"/>
        </w:rPr>
      </w:pPr>
      <w:r w:rsidRPr="00BF1FF1">
        <w:rPr>
          <w:lang w:val="en-GB"/>
        </w:rPr>
        <w:t xml:space="preserve">In recent years, the need to reduce emissions and mitigate the impacts of climate change has driven the search for cleaner energy matrices. Among these, hydrogen has emerged as a strategic vector for decarbonization due to its high energy density (Ishaq et al., 2022). </w:t>
      </w:r>
      <w:r w:rsidR="00634965" w:rsidRPr="00634965">
        <w:rPr>
          <w:lang w:val="en-GB"/>
        </w:rPr>
        <w:t>Although abundant in nature, less than 1% is found in it molecular form (H</w:t>
      </w:r>
      <w:r w:rsidR="00634965" w:rsidRPr="00634965">
        <w:rPr>
          <w:rFonts w:ascii="Cambria Math" w:hAnsi="Cambria Math" w:cs="Cambria Math"/>
          <w:lang w:val="en-GB"/>
        </w:rPr>
        <w:t>₂</w:t>
      </w:r>
      <w:r w:rsidR="00634965" w:rsidRPr="00634965">
        <w:rPr>
          <w:lang w:val="en-GB"/>
        </w:rPr>
        <w:t xml:space="preserve">), and its production is still predominantly based on fossil routes, such as methane steam reforming, which leads to greenhouse gas (GHG) emissions (Gujar et al., 2025). Green alternatives, such as water electrolysis, remain limited by their high cost and substantial energy demand (Odenweller </w:t>
      </w:r>
      <w:r w:rsidR="00B74447">
        <w:rPr>
          <w:lang w:val="en-GB"/>
        </w:rPr>
        <w:t>and</w:t>
      </w:r>
      <w:r w:rsidR="00634965" w:rsidRPr="00634965">
        <w:rPr>
          <w:lang w:val="en-GB"/>
        </w:rPr>
        <w:t xml:space="preserve"> Ueckerdt, 2025). </w:t>
      </w:r>
    </w:p>
    <w:p w14:paraId="0CC8C36A" w14:textId="77777777" w:rsidR="00BF1FF1" w:rsidRDefault="00BF1FF1" w:rsidP="00600535">
      <w:pPr>
        <w:pStyle w:val="CETBodytext"/>
        <w:rPr>
          <w:lang w:val="en-GB"/>
        </w:rPr>
      </w:pPr>
      <w:r w:rsidRPr="00BF1FF1">
        <w:rPr>
          <w:lang w:val="en-GB"/>
        </w:rPr>
        <w:t xml:space="preserve">In this context, glycerol has gained attention as a promising feedstock for hydrogen production. As a byproduct of biodiesel production, it accounts for approximately 10 wt% of the total output (Khor et al., 2022). </w:t>
      </w:r>
      <w:r w:rsidR="00D31506" w:rsidRPr="00D31506">
        <w:rPr>
          <w:lang w:val="en-GB"/>
        </w:rPr>
        <w:t>In its purified form, glycerol has applications in the food, cosmetic, and pharmaceutical sectors</w:t>
      </w:r>
      <w:r w:rsidR="00D31506">
        <w:rPr>
          <w:lang w:val="en-GB"/>
        </w:rPr>
        <w:t xml:space="preserve">. </w:t>
      </w:r>
      <w:r w:rsidRPr="00BF1FF1">
        <w:rPr>
          <w:lang w:val="en-GB"/>
        </w:rPr>
        <w:t>However, the rapid expansion of the biodiesel sector has increased glycerol supply far beyond industrial demand, reducing its commercial value. Thus, its conversion into higher value-added products and hydrogen generation has emerged as a promising strategy for valorization (Sandid et al., 2024).</w:t>
      </w:r>
    </w:p>
    <w:p w14:paraId="0CFD802B" w14:textId="77777777" w:rsidR="00BF1FF1" w:rsidRDefault="00BF1FF1" w:rsidP="00600535">
      <w:pPr>
        <w:pStyle w:val="CETBodytext"/>
        <w:rPr>
          <w:lang w:val="en-GB"/>
        </w:rPr>
      </w:pPr>
      <w:r w:rsidRPr="00BF1FF1">
        <w:rPr>
          <w:lang w:val="en-GB"/>
        </w:rPr>
        <w:t>Glycerol conversion into hydrogen can occur through routes such as steam reforming, autothermal reforming, and gasification. Nevertheless, these technologies still require high energy inputs and generate significant emissions, which limit their efficiency (Rastegari et al., 2018) and reinforce the need for more sustainable and efficient alternatives.</w:t>
      </w:r>
    </w:p>
    <w:p w14:paraId="742AB01C" w14:textId="77777777" w:rsidR="00BF1FF1" w:rsidRDefault="00BF1FF1" w:rsidP="00600535">
      <w:pPr>
        <w:pStyle w:val="CETBodytext"/>
        <w:rPr>
          <w:lang w:val="en-GB"/>
        </w:rPr>
      </w:pPr>
      <w:r w:rsidRPr="00BF1FF1">
        <w:rPr>
          <w:lang w:val="en-GB"/>
        </w:rPr>
        <w:t>The objective of this work is to develop a global process synthesis methodology capable of identifying products with high profit margins, using purified glycerol as feedstock and hydrogen as a co-product, under zero CO</w:t>
      </w:r>
      <w:r w:rsidRPr="00BF1FF1">
        <w:rPr>
          <w:rFonts w:ascii="Cambria Math" w:hAnsi="Cambria Math" w:cs="Cambria Math"/>
          <w:lang w:val="en-GB"/>
        </w:rPr>
        <w:t>₂</w:t>
      </w:r>
      <w:r w:rsidRPr="00BF1FF1">
        <w:rPr>
          <w:lang w:val="en-GB"/>
        </w:rPr>
        <w:t xml:space="preserve"> </w:t>
      </w:r>
      <w:r w:rsidR="005E6E08">
        <w:rPr>
          <w:lang w:val="en-GB"/>
        </w:rPr>
        <w:t>production in the global reaction</w:t>
      </w:r>
      <w:r w:rsidRPr="00BF1FF1">
        <w:rPr>
          <w:lang w:val="en-GB"/>
        </w:rPr>
        <w:t>. The model is formulated as a linear programming problem, based on atomic balance equations, non-negativity constraints, and a global enthalpy requirement that ensures an exothermic process.</w:t>
      </w:r>
    </w:p>
    <w:p w14:paraId="24B30EBF" w14:textId="77777777" w:rsidR="007457C5" w:rsidRDefault="007457C5" w:rsidP="00600535">
      <w:pPr>
        <w:pStyle w:val="CETBodytext"/>
        <w:rPr>
          <w:lang w:val="en-GB"/>
        </w:rPr>
      </w:pPr>
    </w:p>
    <w:p w14:paraId="04497082" w14:textId="77777777" w:rsidR="00453E24" w:rsidRDefault="0098434E" w:rsidP="00453E24">
      <w:pPr>
        <w:pStyle w:val="CETHeading1"/>
      </w:pPr>
      <w:r w:rsidRPr="0098434E">
        <w:lastRenderedPageBreak/>
        <w:t>Methodology</w:t>
      </w:r>
    </w:p>
    <w:p w14:paraId="106DEAC5" w14:textId="77777777" w:rsidR="00A80D82" w:rsidRDefault="0098434E" w:rsidP="00A80D82">
      <w:pPr>
        <w:pStyle w:val="CETBodytext"/>
      </w:pPr>
      <w:r w:rsidRPr="00A80D82">
        <w:t>The mathematical formulation follows the linear programming model</w:t>
      </w:r>
      <w:r w:rsidR="00AA1A0F">
        <w:t xml:space="preserve"> presented by Silva et al. (2025</w:t>
      </w:r>
      <w:r w:rsidRPr="00A80D82">
        <w:t>), in which only glycerol (C</w:t>
      </w:r>
      <w:r w:rsidRPr="00A80D82">
        <w:rPr>
          <w:rFonts w:ascii="Cambria Math" w:hAnsi="Cambria Math" w:cs="Cambria Math"/>
        </w:rPr>
        <w:t>₃</w:t>
      </w:r>
      <w:r w:rsidRPr="00A80D82">
        <w:t>H</w:t>
      </w:r>
      <w:r w:rsidRPr="00A80D82">
        <w:rPr>
          <w:rFonts w:ascii="Cambria Math" w:hAnsi="Cambria Math" w:cs="Cambria Math"/>
        </w:rPr>
        <w:t>₈</w:t>
      </w:r>
      <w:r w:rsidRPr="00A80D82">
        <w:t>O</w:t>
      </w:r>
      <w:r w:rsidRPr="00A80D82">
        <w:rPr>
          <w:rFonts w:ascii="Cambria Math" w:hAnsi="Cambria Math" w:cs="Cambria Math"/>
        </w:rPr>
        <w:t>₃</w:t>
      </w:r>
      <w:r w:rsidRPr="00A80D82">
        <w:t>) is pre-defined as the feedstock and hydrogen as the desired co-product. The other reactants and products are not initially specified, being determined by the model itself during optimization.</w:t>
      </w:r>
      <w:r w:rsidRPr="0098434E">
        <w:t xml:space="preserve"> </w:t>
      </w:r>
      <w:r w:rsidR="00A80D82" w:rsidRPr="00A80D82">
        <w:t>The objective function aims to maximize the final selling price of the process, as expressed in Eq. (1). The calculation of the final selling price is given by Eq. (2)</w:t>
      </w:r>
      <w:r w:rsidR="00580B6E">
        <w:t>, wh</w:t>
      </w:r>
      <w:r w:rsidR="00A80D82" w:rsidRPr="00580B6E">
        <w:t xml:space="preserve">ere, </w:t>
      </w:r>
      <m:oMath>
        <m:sSub>
          <m:sSubPr>
            <m:ctrlPr>
              <w:rPr>
                <w:rFonts w:ascii="Cambria Math" w:hAnsi="Cambria Math"/>
                <w:lang w:val="pt-BR"/>
              </w:rPr>
            </m:ctrlPr>
          </m:sSubPr>
          <m:e>
            <m:r>
              <w:rPr>
                <w:rFonts w:ascii="Cambria Math" w:hAnsi="Cambria Math"/>
                <w:lang w:val="pt-BR"/>
              </w:rPr>
              <m:t>n</m:t>
            </m:r>
          </m:e>
          <m:sub>
            <m:r>
              <w:rPr>
                <w:rFonts w:ascii="Cambria Math" w:hAnsi="Cambria Math"/>
                <w:lang w:val="pt-BR"/>
              </w:rPr>
              <m:t>i</m:t>
            </m:r>
          </m:sub>
        </m:sSub>
      </m:oMath>
      <w:r w:rsidR="00A80D82" w:rsidRPr="007139BF">
        <w:t xml:space="preserve"> </w:t>
      </w:r>
      <w:r w:rsidR="00A80D82" w:rsidRPr="00580B6E">
        <w:t xml:space="preserve">is defined as the number of moles of substance i (kgmol), </w:t>
      </w:r>
      <m:oMath>
        <m:sSub>
          <m:sSubPr>
            <m:ctrlPr>
              <w:rPr>
                <w:rFonts w:ascii="Cambria Math" w:hAnsi="Cambria Math"/>
                <w:szCs w:val="18"/>
              </w:rPr>
            </m:ctrlPr>
          </m:sSubPr>
          <m:e>
            <m:r>
              <w:rPr>
                <w:rFonts w:ascii="Cambria Math" w:hAnsi="Cambria Math"/>
                <w:szCs w:val="18"/>
              </w:rPr>
              <m:t>p</m:t>
            </m:r>
          </m:e>
          <m:sub>
            <m:r>
              <w:rPr>
                <w:rFonts w:ascii="Cambria Math" w:hAnsi="Cambria Math"/>
                <w:szCs w:val="18"/>
              </w:rPr>
              <m:t>i</m:t>
            </m:r>
          </m:sub>
        </m:sSub>
      </m:oMath>
      <w:r w:rsidR="00A80D82" w:rsidRPr="00580B6E">
        <w:t xml:space="preserve"> as the individual price of substance i (US$/kg) e </w:t>
      </w:r>
      <m:oMath>
        <m:r>
          <w:rPr>
            <w:rFonts w:ascii="Cambria Math" w:hAnsi="Cambria Math" w:cs="Arial"/>
            <w:szCs w:val="18"/>
          </w:rPr>
          <m:t>m</m:t>
        </m:r>
        <m:sSub>
          <m:sSubPr>
            <m:ctrlPr>
              <w:rPr>
                <w:rFonts w:ascii="Cambria Math" w:hAnsi="Cambria Math" w:cs="Arial"/>
                <w:szCs w:val="18"/>
              </w:rPr>
            </m:ctrlPr>
          </m:sSubPr>
          <m:e>
            <m:r>
              <w:rPr>
                <w:rFonts w:ascii="Cambria Math" w:hAnsi="Cambria Math" w:cs="Arial"/>
                <w:szCs w:val="18"/>
              </w:rPr>
              <m:t>m</m:t>
            </m:r>
          </m:e>
          <m:sub>
            <m:r>
              <w:rPr>
                <w:rFonts w:ascii="Cambria Math" w:hAnsi="Cambria Math" w:cs="Arial"/>
                <w:szCs w:val="18"/>
              </w:rPr>
              <m:t>i</m:t>
            </m:r>
          </m:sub>
        </m:sSub>
      </m:oMath>
      <w:r w:rsidR="00A80D82" w:rsidRPr="00580B6E">
        <w:t xml:space="preserve"> as its molar mass (kg/kgmol).</w:t>
      </w:r>
    </w:p>
    <w:p w14:paraId="63D43C3D" w14:textId="77777777" w:rsidR="005F361A" w:rsidRDefault="005F361A" w:rsidP="00A80D82">
      <w:pPr>
        <w:pStyle w:val="CETBodytext"/>
      </w:pPr>
    </w:p>
    <w:tbl>
      <w:tblPr>
        <w:tblW w:w="5000" w:type="pct"/>
        <w:tblLook w:val="04A0" w:firstRow="1" w:lastRow="0" w:firstColumn="1" w:lastColumn="0" w:noHBand="0" w:noVBand="1"/>
      </w:tblPr>
      <w:tblGrid>
        <w:gridCol w:w="7984"/>
        <w:gridCol w:w="803"/>
      </w:tblGrid>
      <w:tr w:rsidR="005F361A" w:rsidRPr="007B5BC3" w14:paraId="7A48FE0E" w14:textId="77777777" w:rsidTr="00C957EF">
        <w:tc>
          <w:tcPr>
            <w:tcW w:w="8188" w:type="dxa"/>
            <w:vAlign w:val="center"/>
          </w:tcPr>
          <w:p w14:paraId="6017E499" w14:textId="77777777" w:rsidR="005F361A" w:rsidRPr="007B5BC3" w:rsidRDefault="00000000" w:rsidP="00C957EF">
            <w:pPr>
              <w:pStyle w:val="CETEquation"/>
            </w:pPr>
            <m:oMathPara>
              <m:oMathParaPr>
                <m:jc m:val="left"/>
              </m:oMathParaPr>
              <m:oMath>
                <m:limLow>
                  <m:limLowPr>
                    <m:ctrlPr>
                      <w:rPr>
                        <w:rFonts w:ascii="Cambria Math" w:hAnsi="Cambria Math"/>
                      </w:rPr>
                    </m:ctrlPr>
                  </m:limLowPr>
                  <m:e>
                    <m:r>
                      <m:rPr>
                        <m:sty m:val="p"/>
                      </m:rPr>
                      <w:rPr>
                        <w:rFonts w:ascii="Cambria Math" w:hAnsi="Cambria Math"/>
                      </w:rPr>
                      <m:t>max</m:t>
                    </m:r>
                  </m:e>
                  <m:lim>
                    <m:sSub>
                      <m:sSubPr>
                        <m:ctrlPr>
                          <w:rPr>
                            <w:rFonts w:ascii="Cambria Math" w:hAnsi="Cambria Math"/>
                          </w:rPr>
                        </m:ctrlPr>
                      </m:sSubPr>
                      <m:e>
                        <m:r>
                          <w:rPr>
                            <w:rFonts w:ascii="Cambria Math" w:eastAsiaTheme="minorEastAsia" w:hAnsi="Cambria Math"/>
                          </w:rPr>
                          <m:t>n</m:t>
                        </m:r>
                      </m:e>
                      <m:sub>
                        <m:r>
                          <w:rPr>
                            <w:rFonts w:ascii="Cambria Math" w:eastAsiaTheme="minorEastAsia" w:hAnsi="Cambria Math"/>
                          </w:rPr>
                          <m:t>i</m:t>
                        </m:r>
                      </m:sub>
                    </m:sSub>
                  </m:lim>
                </m:limLow>
                <m:r>
                  <m:rPr>
                    <m:sty m:val="p"/>
                  </m:rPr>
                  <w:rPr>
                    <w:rFonts w:ascii="Cambria Math" w:eastAsiaTheme="minorEastAsia" w:hAnsi="Cambria Math"/>
                  </w:rPr>
                  <m:t xml:space="preserve"> </m:t>
                </m:r>
                <m:d>
                  <m:dPr>
                    <m:begChr m:val="{"/>
                    <m:endChr m:val="}"/>
                    <m:ctrlPr>
                      <w:rPr>
                        <w:rFonts w:ascii="Cambria Math" w:hAnsi="Cambria Math"/>
                      </w:rPr>
                    </m:ctrlPr>
                  </m:dPr>
                  <m:e>
                    <m:r>
                      <w:rPr>
                        <w:rFonts w:ascii="Cambria Math" w:hAnsi="Cambria Math"/>
                      </w:rPr>
                      <m:t>Selling</m:t>
                    </m:r>
                    <m:r>
                      <m:rPr>
                        <m:sty m:val="p"/>
                      </m:rPr>
                      <w:rPr>
                        <w:rFonts w:ascii="Cambria Math" w:hAnsi="Cambria Math"/>
                      </w:rPr>
                      <m:t xml:space="preserve"> </m:t>
                    </m:r>
                    <m:r>
                      <w:rPr>
                        <w:rFonts w:ascii="Cambria Math" w:hAnsi="Cambria Math"/>
                      </w:rPr>
                      <m:t>Price</m:t>
                    </m:r>
                    <m:r>
                      <m:rPr>
                        <m:sty m:val="p"/>
                      </m:rPr>
                      <w:rPr>
                        <w:rFonts w:ascii="Cambria Math" w:hAnsi="Cambria Math"/>
                      </w:rPr>
                      <m:t xml:space="preserve"> </m:t>
                    </m:r>
                  </m:e>
                </m:d>
              </m:oMath>
            </m:oMathPara>
          </w:p>
        </w:tc>
        <w:tc>
          <w:tcPr>
            <w:tcW w:w="815" w:type="dxa"/>
            <w:vAlign w:val="center"/>
          </w:tcPr>
          <w:p w14:paraId="0FA9A5C4" w14:textId="77777777" w:rsidR="005F361A" w:rsidRPr="007B5BC3" w:rsidRDefault="005F361A" w:rsidP="00C957EF">
            <w:pPr>
              <w:pStyle w:val="CETEquation"/>
              <w:jc w:val="right"/>
            </w:pPr>
            <w:r w:rsidRPr="007B5BC3">
              <w:t>(</w:t>
            </w:r>
            <w:r>
              <w:t>1</w:t>
            </w:r>
            <w:r w:rsidRPr="007B5BC3">
              <w:t>)</w:t>
            </w:r>
          </w:p>
        </w:tc>
      </w:tr>
    </w:tbl>
    <w:p w14:paraId="5D476595" w14:textId="77777777" w:rsidR="005F361A" w:rsidRDefault="005F361A" w:rsidP="005F361A">
      <w:pPr>
        <w:pStyle w:val="CETBodytext"/>
      </w:pPr>
    </w:p>
    <w:tbl>
      <w:tblPr>
        <w:tblW w:w="5000" w:type="pct"/>
        <w:tblLook w:val="04A0" w:firstRow="1" w:lastRow="0" w:firstColumn="1" w:lastColumn="0" w:noHBand="0" w:noVBand="1"/>
      </w:tblPr>
      <w:tblGrid>
        <w:gridCol w:w="7984"/>
        <w:gridCol w:w="803"/>
      </w:tblGrid>
      <w:tr w:rsidR="005F361A" w:rsidRPr="00B57B36" w14:paraId="7052A2F7" w14:textId="77777777" w:rsidTr="00C957EF">
        <w:tc>
          <w:tcPr>
            <w:tcW w:w="7984" w:type="dxa"/>
            <w:vAlign w:val="center"/>
          </w:tcPr>
          <w:p w14:paraId="1710E0C5" w14:textId="77777777" w:rsidR="005F361A" w:rsidRPr="007B5BC3" w:rsidRDefault="005F361A" w:rsidP="00C957EF">
            <w:pPr>
              <w:pStyle w:val="CETEquation"/>
              <w:rPr>
                <w:rFonts w:cs="Arial"/>
              </w:rPr>
            </w:pPr>
            <m:oMathPara>
              <m:oMathParaPr>
                <m:jc m:val="left"/>
              </m:oMathParaPr>
              <m:oMath>
                <m:r>
                  <w:rPr>
                    <w:rFonts w:ascii="Cambria Math" w:hAnsi="Cambria Math" w:cs="Arial"/>
                    <w:szCs w:val="18"/>
                  </w:rPr>
                  <m:t xml:space="preserve">Selling Price= </m:t>
                </m:r>
                <m:nary>
                  <m:naryPr>
                    <m:chr m:val="∑"/>
                    <m:limLoc m:val="undOvr"/>
                    <m:subHide m:val="1"/>
                    <m:supHide m:val="1"/>
                    <m:ctrlPr>
                      <w:rPr>
                        <w:rFonts w:ascii="Cambria Math" w:hAnsi="Cambria Math" w:cs="Arial"/>
                        <w:i/>
                        <w:szCs w:val="18"/>
                      </w:rPr>
                    </m:ctrlPr>
                  </m:naryPr>
                  <m:sub/>
                  <m:sup/>
                  <m:e>
                    <m:r>
                      <w:rPr>
                        <w:rFonts w:ascii="Cambria Math" w:hAnsi="Cambria Math" w:cs="Arial"/>
                        <w:szCs w:val="18"/>
                      </w:rPr>
                      <m:t>(</m:t>
                    </m:r>
                    <m:sSub>
                      <m:sSubPr>
                        <m:ctrlPr>
                          <w:rPr>
                            <w:rFonts w:ascii="Cambria Math" w:hAnsi="Cambria Math" w:cs="Arial"/>
                            <w:i/>
                            <w:szCs w:val="18"/>
                          </w:rPr>
                        </m:ctrlPr>
                      </m:sSubPr>
                      <m:e>
                        <m:r>
                          <w:rPr>
                            <w:rFonts w:ascii="Cambria Math" w:hAnsi="Cambria Math" w:cs="Arial"/>
                            <w:szCs w:val="18"/>
                          </w:rPr>
                          <m:t>p</m:t>
                        </m:r>
                      </m:e>
                      <m:sub>
                        <m:r>
                          <w:rPr>
                            <w:rFonts w:ascii="Cambria Math" w:hAnsi="Cambria Math" w:cs="Arial"/>
                            <w:szCs w:val="18"/>
                          </w:rPr>
                          <m:t>i</m:t>
                        </m:r>
                      </m:sub>
                    </m:sSub>
                    <m:r>
                      <w:rPr>
                        <w:rFonts w:ascii="Cambria Math" w:hAnsi="Cambria Math" w:cs="Arial"/>
                        <w:szCs w:val="18"/>
                      </w:rPr>
                      <m:t xml:space="preserve"> . </m:t>
                    </m:r>
                    <m:sSub>
                      <m:sSubPr>
                        <m:ctrlPr>
                          <w:rPr>
                            <w:rFonts w:ascii="Cambria Math" w:hAnsi="Cambria Math" w:cs="Arial"/>
                            <w:i/>
                            <w:szCs w:val="18"/>
                          </w:rPr>
                        </m:ctrlPr>
                      </m:sSubPr>
                      <m:e>
                        <m:r>
                          <w:rPr>
                            <w:rFonts w:ascii="Cambria Math" w:hAnsi="Cambria Math" w:cs="Arial"/>
                            <w:szCs w:val="18"/>
                          </w:rPr>
                          <m:t>n</m:t>
                        </m:r>
                      </m:e>
                      <m:sub>
                        <m:r>
                          <w:rPr>
                            <w:rFonts w:ascii="Cambria Math" w:hAnsi="Cambria Math" w:cs="Arial"/>
                            <w:szCs w:val="18"/>
                          </w:rPr>
                          <m:t>i</m:t>
                        </m:r>
                      </m:sub>
                    </m:sSub>
                    <m:r>
                      <w:rPr>
                        <w:rFonts w:ascii="Cambria Math" w:hAnsi="Cambria Math" w:cs="Arial"/>
                        <w:szCs w:val="18"/>
                      </w:rPr>
                      <m:t xml:space="preserve"> . m</m:t>
                    </m:r>
                    <m:sSub>
                      <m:sSubPr>
                        <m:ctrlPr>
                          <w:rPr>
                            <w:rFonts w:ascii="Cambria Math" w:hAnsi="Cambria Math" w:cs="Arial"/>
                            <w:i/>
                            <w:szCs w:val="18"/>
                          </w:rPr>
                        </m:ctrlPr>
                      </m:sSubPr>
                      <m:e>
                        <m:r>
                          <w:rPr>
                            <w:rFonts w:ascii="Cambria Math" w:hAnsi="Cambria Math" w:cs="Arial"/>
                            <w:szCs w:val="18"/>
                          </w:rPr>
                          <m:t>m</m:t>
                        </m:r>
                      </m:e>
                      <m:sub>
                        <m:r>
                          <w:rPr>
                            <w:rFonts w:ascii="Cambria Math" w:hAnsi="Cambria Math" w:cs="Arial"/>
                            <w:szCs w:val="18"/>
                          </w:rPr>
                          <m:t>i</m:t>
                        </m:r>
                      </m:sub>
                    </m:sSub>
                    <m:r>
                      <w:rPr>
                        <w:rFonts w:ascii="Cambria Math" w:hAnsi="Cambria Math" w:cs="Arial"/>
                        <w:szCs w:val="18"/>
                      </w:rPr>
                      <m:t>)</m:t>
                    </m:r>
                  </m:e>
                </m:nary>
              </m:oMath>
            </m:oMathPara>
          </w:p>
        </w:tc>
        <w:tc>
          <w:tcPr>
            <w:tcW w:w="803" w:type="dxa"/>
            <w:vAlign w:val="center"/>
          </w:tcPr>
          <w:p w14:paraId="7D8B9EA9" w14:textId="77777777" w:rsidR="005F361A" w:rsidRPr="00B57B36" w:rsidRDefault="005F361A" w:rsidP="00C957EF">
            <w:pPr>
              <w:pStyle w:val="CETEquation"/>
              <w:jc w:val="right"/>
            </w:pPr>
            <w:r w:rsidRPr="00B57B36">
              <w:t>(</w:t>
            </w:r>
            <w:r>
              <w:t>2</w:t>
            </w:r>
            <w:r w:rsidRPr="00B57B36">
              <w:t>)</w:t>
            </w:r>
          </w:p>
        </w:tc>
      </w:tr>
    </w:tbl>
    <w:p w14:paraId="2D42DB63" w14:textId="77777777" w:rsidR="005F361A" w:rsidRDefault="005F361A" w:rsidP="00A80D82">
      <w:pPr>
        <w:pStyle w:val="CETBodytext"/>
      </w:pPr>
    </w:p>
    <w:p w14:paraId="78E72FF7" w14:textId="2E067A1E" w:rsidR="005F361A" w:rsidRDefault="005F361A" w:rsidP="005F361A">
      <w:pPr>
        <w:pStyle w:val="CETBodytext"/>
      </w:pPr>
      <w:r w:rsidRPr="00580B6E">
        <w:t xml:space="preserve">The system incorporates the atomic balance constraint (Eq. </w:t>
      </w:r>
      <w:r w:rsidR="00124059">
        <w:t>4</w:t>
      </w:r>
      <w:r w:rsidRPr="00580B6E">
        <w:t xml:space="preserve">) and the global enthalpy constraint (Eq. </w:t>
      </w:r>
      <w:r w:rsidR="001F180C">
        <w:t>5</w:t>
      </w:r>
      <w:r w:rsidRPr="00580B6E">
        <w:t xml:space="preserve">), ensuring thermodynamic consistency </w:t>
      </w:r>
      <w:r w:rsidR="001F180C">
        <w:t xml:space="preserve">and </w:t>
      </w:r>
      <w:r w:rsidR="000A27CC">
        <w:t xml:space="preserve">that the </w:t>
      </w:r>
      <w:r w:rsidR="007D3423">
        <w:t xml:space="preserve">global </w:t>
      </w:r>
      <w:r w:rsidR="000A27CC">
        <w:t>process is</w:t>
      </w:r>
      <w:r w:rsidR="001F180C">
        <w:t xml:space="preserve"> non-en</w:t>
      </w:r>
      <w:r w:rsidR="000A27CC">
        <w:t>dothermic</w:t>
      </w:r>
      <w:r w:rsidRPr="00580B6E">
        <w:t xml:space="preserve">. Similarly, the non-negativity constraint (Eq. </w:t>
      </w:r>
      <w:r w:rsidR="001F180C">
        <w:t>3</w:t>
      </w:r>
      <w:r w:rsidRPr="00580B6E">
        <w:t>) is applied, preventing the model from generating negative molar values and preserving the physical meaning of the process.</w:t>
      </w:r>
    </w:p>
    <w:p w14:paraId="5828101D" w14:textId="77777777" w:rsidR="005F361A" w:rsidRDefault="005F361A" w:rsidP="00453E24">
      <w:pPr>
        <w:pStyle w:val="CETBodytext"/>
      </w:pPr>
    </w:p>
    <w:tbl>
      <w:tblPr>
        <w:tblW w:w="5000" w:type="pct"/>
        <w:tblLook w:val="04A0" w:firstRow="1" w:lastRow="0" w:firstColumn="1" w:lastColumn="0" w:noHBand="0" w:noVBand="1"/>
      </w:tblPr>
      <w:tblGrid>
        <w:gridCol w:w="7982"/>
        <w:gridCol w:w="805"/>
      </w:tblGrid>
      <w:tr w:rsidR="006B42FE" w:rsidRPr="00245342" w14:paraId="4FBCE3D1" w14:textId="77777777" w:rsidTr="00825CC0">
        <w:tc>
          <w:tcPr>
            <w:tcW w:w="8188" w:type="dxa"/>
            <w:vAlign w:val="center"/>
          </w:tcPr>
          <w:p w14:paraId="13FF0C45" w14:textId="77777777" w:rsidR="006B42FE" w:rsidRPr="00245342" w:rsidRDefault="00000000" w:rsidP="00245342">
            <w:pPr>
              <w:pStyle w:val="CETEquation"/>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≥0</m:t>
                </m:r>
              </m:oMath>
            </m:oMathPara>
          </w:p>
        </w:tc>
        <w:tc>
          <w:tcPr>
            <w:tcW w:w="815" w:type="dxa"/>
            <w:vAlign w:val="center"/>
          </w:tcPr>
          <w:p w14:paraId="3A865D7A" w14:textId="77777777" w:rsidR="006B42FE" w:rsidRPr="00245342" w:rsidRDefault="006B42FE" w:rsidP="00245342">
            <w:pPr>
              <w:pStyle w:val="CETEquation"/>
              <w:jc w:val="right"/>
            </w:pPr>
            <w:r w:rsidRPr="00245342">
              <w:t>(</w:t>
            </w:r>
            <w:r w:rsidR="005F361A">
              <w:t>3</w:t>
            </w:r>
            <w:r w:rsidRPr="00245342">
              <w:t>)</w:t>
            </w:r>
          </w:p>
        </w:tc>
      </w:tr>
    </w:tbl>
    <w:p w14:paraId="1C7CA23E" w14:textId="77777777" w:rsidR="006B42FE" w:rsidRDefault="006B42FE" w:rsidP="00453E24">
      <w:pPr>
        <w:pStyle w:val="CETBodytext"/>
      </w:pPr>
    </w:p>
    <w:tbl>
      <w:tblPr>
        <w:tblW w:w="5000" w:type="pct"/>
        <w:tblLook w:val="04A0" w:firstRow="1" w:lastRow="0" w:firstColumn="1" w:lastColumn="0" w:noHBand="0" w:noVBand="1"/>
      </w:tblPr>
      <w:tblGrid>
        <w:gridCol w:w="7983"/>
        <w:gridCol w:w="804"/>
      </w:tblGrid>
      <w:tr w:rsidR="00F70A7C" w:rsidRPr="00245342" w14:paraId="043B582A" w14:textId="77777777" w:rsidTr="00F70A7C">
        <w:tc>
          <w:tcPr>
            <w:tcW w:w="8188" w:type="dxa"/>
            <w:vAlign w:val="center"/>
          </w:tcPr>
          <w:p w14:paraId="7468EBC7" w14:textId="77777777" w:rsidR="00F70A7C" w:rsidRPr="00245342" w:rsidRDefault="00000000" w:rsidP="00245342">
            <w:pPr>
              <w:pStyle w:val="CETEquation"/>
            </w:pPr>
            <m:oMathPara>
              <m:oMathParaPr>
                <m:jc m:val="left"/>
              </m:oMathParaP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mi</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n</m:t>
                        </m:r>
                      </m:e>
                      <m:sub>
                        <m:r>
                          <w:rPr>
                            <w:rFonts w:ascii="Cambria Math" w:hAnsi="Cambria Math"/>
                          </w:rPr>
                          <m:t>i</m:t>
                        </m:r>
                      </m:sub>
                      <m:sup>
                        <m:r>
                          <m:rPr>
                            <m:nor/>
                          </m:rPr>
                          <m:t>products</m:t>
                        </m:r>
                      </m:sup>
                    </m:sSubSup>
                    <m:r>
                      <m:rPr>
                        <m:sty m:val="p"/>
                      </m:rPr>
                      <w:rPr>
                        <w:rFonts w:ascii="Cambria Math" w:hAnsi="Cambria Math"/>
                      </w:rPr>
                      <m:t>=</m:t>
                    </m:r>
                  </m:e>
                </m:nary>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mi</m:t>
                        </m:r>
                      </m:sub>
                    </m:sSub>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i</m:t>
                        </m:r>
                      </m:sub>
                      <m:sup>
                        <m:r>
                          <m:rPr>
                            <m:nor/>
                          </m:rPr>
                          <m:t>reagents</m:t>
                        </m:r>
                      </m:sup>
                    </m:sSubSup>
                  </m:e>
                </m:nary>
              </m:oMath>
            </m:oMathPara>
          </w:p>
        </w:tc>
        <w:tc>
          <w:tcPr>
            <w:tcW w:w="815" w:type="dxa"/>
            <w:vAlign w:val="center"/>
          </w:tcPr>
          <w:p w14:paraId="782A2787" w14:textId="77777777" w:rsidR="00F70A7C" w:rsidRPr="00245342" w:rsidRDefault="00F70A7C" w:rsidP="00245342">
            <w:pPr>
              <w:pStyle w:val="CETEquation"/>
              <w:jc w:val="right"/>
            </w:pPr>
            <w:r w:rsidRPr="00245342">
              <w:t>(</w:t>
            </w:r>
            <w:r w:rsidR="005F361A">
              <w:t>4</w:t>
            </w:r>
            <w:r w:rsidRPr="00245342">
              <w:t>)</w:t>
            </w:r>
          </w:p>
        </w:tc>
      </w:tr>
    </w:tbl>
    <w:p w14:paraId="73B1E8F2" w14:textId="77777777" w:rsidR="00F70A7C" w:rsidRDefault="00F70A7C" w:rsidP="00453E24">
      <w:pPr>
        <w:pStyle w:val="CETBodytext"/>
      </w:pPr>
    </w:p>
    <w:tbl>
      <w:tblPr>
        <w:tblW w:w="5000" w:type="pct"/>
        <w:tblLook w:val="04A0" w:firstRow="1" w:lastRow="0" w:firstColumn="1" w:lastColumn="0" w:noHBand="0" w:noVBand="1"/>
      </w:tblPr>
      <w:tblGrid>
        <w:gridCol w:w="7983"/>
        <w:gridCol w:w="804"/>
      </w:tblGrid>
      <w:tr w:rsidR="00245342" w:rsidRPr="00245342" w14:paraId="6F8A07B4" w14:textId="77777777" w:rsidTr="00825CC0">
        <w:tc>
          <w:tcPr>
            <w:tcW w:w="8188" w:type="dxa"/>
            <w:vAlign w:val="center"/>
          </w:tcPr>
          <w:p w14:paraId="0B4273C5" w14:textId="12FC989A" w:rsidR="00245342" w:rsidRPr="00245342" w:rsidRDefault="00245342" w:rsidP="00245342">
            <w:pPr>
              <w:pStyle w:val="CETEquation"/>
            </w:pPr>
            <m:oMathPara>
              <m:oMathParaPr>
                <m:jc m:val="left"/>
              </m:oMathParaPr>
              <m:oMath>
                <m:r>
                  <m:rPr>
                    <m:sty m:val="p"/>
                  </m:rPr>
                  <w:rPr>
                    <w:rFonts w:ascii="Cambria Math" w:hAnsi="Cambria Math"/>
                  </w:rPr>
                  <m:t>∆</m:t>
                </m:r>
                <m:sSubSup>
                  <m:sSubSupPr>
                    <m:ctrlPr>
                      <w:rPr>
                        <w:rFonts w:ascii="Cambria Math" w:hAnsi="Cambria Math"/>
                      </w:rPr>
                    </m:ctrlPr>
                  </m:sSubSupPr>
                  <m:e>
                    <m:r>
                      <w:rPr>
                        <w:rFonts w:ascii="Cambria Math" w:hAnsi="Cambria Math"/>
                      </w:rPr>
                      <m:t>H</m:t>
                    </m:r>
                  </m:e>
                  <m:sub>
                    <m:r>
                      <w:rPr>
                        <w:rFonts w:ascii="Cambria Math" w:hAnsi="Cambria Math"/>
                      </w:rPr>
                      <m:t>R</m:t>
                    </m:r>
                  </m:sub>
                  <m:sup>
                    <m:r>
                      <m:rPr>
                        <m:nor/>
                      </m:rPr>
                      <m:t>global</m:t>
                    </m:r>
                  </m:sup>
                </m:sSubSup>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n</m:t>
                        </m:r>
                      </m:e>
                      <m:sub>
                        <m:r>
                          <w:rPr>
                            <w:rFonts w:ascii="Cambria Math" w:hAnsi="Cambria Math"/>
                          </w:rPr>
                          <m:t>i</m:t>
                        </m:r>
                      </m:sub>
                      <m:sup>
                        <m:r>
                          <m:rPr>
                            <m:nor/>
                          </m:rPr>
                          <m:t>products</m:t>
                        </m:r>
                      </m:sup>
                    </m:sSubSup>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h</m:t>
                            </m:r>
                          </m:e>
                        </m:acc>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r>
                      <m:rPr>
                        <m:sty m:val="p"/>
                      </m:rPr>
                      <w:rPr>
                        <w:rFonts w:ascii="Cambria Math" w:hAnsi="Cambria Math"/>
                      </w:rPr>
                      <m:t>)</m:t>
                    </m:r>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n</m:t>
                        </m:r>
                      </m:e>
                      <m:sub>
                        <m:r>
                          <w:rPr>
                            <w:rFonts w:ascii="Cambria Math" w:hAnsi="Cambria Math"/>
                          </w:rPr>
                          <m:t>i</m:t>
                        </m:r>
                      </m:sub>
                      <m:sup>
                        <m:r>
                          <m:rPr>
                            <m:nor/>
                          </m:rPr>
                          <m:t>reagents</m:t>
                        </m:r>
                      </m:sup>
                    </m:sSubSup>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h</m:t>
                            </m:r>
                          </m:e>
                        </m:acc>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r>
                      <m:rPr>
                        <m:sty m:val="p"/>
                      </m:rPr>
                      <w:rPr>
                        <w:rFonts w:ascii="Cambria Math" w:hAnsi="Cambria Math"/>
                      </w:rPr>
                      <m:t>)</m:t>
                    </m:r>
                  </m:e>
                </m:nary>
                <m:r>
                  <w:rPr>
                    <w:rFonts w:ascii="Cambria Math" w:hAnsi="Cambria Math"/>
                  </w:rPr>
                  <m:t>≤0</m:t>
                </m:r>
              </m:oMath>
            </m:oMathPara>
          </w:p>
        </w:tc>
        <w:tc>
          <w:tcPr>
            <w:tcW w:w="815" w:type="dxa"/>
            <w:vAlign w:val="center"/>
          </w:tcPr>
          <w:p w14:paraId="0F5FF6C1" w14:textId="77777777" w:rsidR="00245342" w:rsidRPr="00245342" w:rsidRDefault="00AD77FE" w:rsidP="00245342">
            <w:pPr>
              <w:pStyle w:val="CETEquation"/>
              <w:jc w:val="right"/>
            </w:pPr>
            <w:r>
              <w:t xml:space="preserve"> </w:t>
            </w:r>
            <w:r w:rsidR="00245342" w:rsidRPr="00245342">
              <w:t>(</w:t>
            </w:r>
            <w:r w:rsidR="005F361A">
              <w:t>5</w:t>
            </w:r>
            <w:r w:rsidR="00245342" w:rsidRPr="00245342">
              <w:t>)</w:t>
            </w:r>
          </w:p>
        </w:tc>
      </w:tr>
    </w:tbl>
    <w:p w14:paraId="1D566A12" w14:textId="77777777" w:rsidR="00245342" w:rsidRDefault="00245342" w:rsidP="00453E24">
      <w:pPr>
        <w:pStyle w:val="CETBodytext"/>
      </w:pPr>
    </w:p>
    <w:p w14:paraId="172FFAC0" w14:textId="77777777" w:rsidR="003534E2" w:rsidRPr="00AD77FE" w:rsidRDefault="003534E2" w:rsidP="00AD77FE">
      <w:pPr>
        <w:pStyle w:val="CETBodytext"/>
      </w:pPr>
      <w:r w:rsidRPr="00AD77FE">
        <w:t xml:space="preserve">The term </w:t>
      </w:r>
      <m:oMath>
        <m:sSub>
          <m:sSubPr>
            <m:ctrlPr>
              <w:rPr>
                <w:rFonts w:ascii="Cambria Math" w:hAnsi="Cambria Math"/>
              </w:rPr>
            </m:ctrlPr>
          </m:sSubPr>
          <m:e>
            <m:r>
              <w:rPr>
                <w:rFonts w:ascii="Cambria Math" w:hAnsi="Cambria Math"/>
              </w:rPr>
              <m:t>a</m:t>
            </m:r>
          </m:e>
          <m:sub>
            <m:r>
              <w:rPr>
                <w:rFonts w:ascii="Cambria Math" w:hAnsi="Cambria Math"/>
              </w:rPr>
              <m:t>mi</m:t>
            </m:r>
          </m:sub>
        </m:sSub>
      </m:oMath>
      <w:r w:rsidRPr="00AD77FE">
        <w:t xml:space="preserve"> represents the number of atoms of element m in substance i; </w:t>
      </w:r>
      <w:bookmarkStart w:id="0" w:name="_Hlk216440592"/>
      <m:oMath>
        <m:r>
          <m:rPr>
            <m:sty m:val="p"/>
          </m:rPr>
          <w:rPr>
            <w:rFonts w:ascii="Cambria Math" w:hAnsi="Cambria Math"/>
          </w:rPr>
          <m:t>∆</m:t>
        </m:r>
        <m:sSubSup>
          <m:sSubSupPr>
            <m:ctrlPr>
              <w:rPr>
                <w:rFonts w:ascii="Cambria Math" w:hAnsi="Cambria Math"/>
              </w:rPr>
            </m:ctrlPr>
          </m:sSubSupPr>
          <m:e>
            <m:r>
              <w:rPr>
                <w:rFonts w:ascii="Cambria Math" w:hAnsi="Cambria Math"/>
              </w:rPr>
              <m:t>H</m:t>
            </m:r>
          </m:e>
          <m:sub>
            <m:r>
              <w:rPr>
                <w:rFonts w:ascii="Cambria Math" w:hAnsi="Cambria Math"/>
              </w:rPr>
              <m:t>R</m:t>
            </m:r>
          </m:sub>
          <m:sup>
            <m:r>
              <m:rPr>
                <m:nor/>
              </m:rPr>
              <m:t>global</m:t>
            </m:r>
          </m:sup>
        </m:sSubSup>
      </m:oMath>
      <w:bookmarkEnd w:id="0"/>
      <w:r w:rsidRPr="00AD77FE">
        <w:t xml:space="preserve"> is the global reaction enthalpy; </w:t>
      </w:r>
      <m:oMath>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oMath>
      <w:r w:rsidRPr="00AD77FE">
        <w:t xml:space="preserve"> correspond to standard temperature and pressure conditions (25 °C and 1 atm); and </w:t>
      </w:r>
      <m:oMath>
        <m:sSub>
          <m:sSubPr>
            <m:ctrlPr>
              <w:rPr>
                <w:rFonts w:ascii="Cambria Math" w:hAnsi="Cambria Math"/>
              </w:rPr>
            </m:ctrlPr>
          </m:sSubPr>
          <m:e>
            <m:acc>
              <m:accPr>
                <m:ctrlPr>
                  <w:rPr>
                    <w:rFonts w:ascii="Cambria Math" w:hAnsi="Cambria Math"/>
                  </w:rPr>
                </m:ctrlPr>
              </m:accPr>
              <m:e>
                <m:r>
                  <w:rPr>
                    <w:rFonts w:ascii="Cambria Math" w:hAnsi="Cambria Math"/>
                  </w:rPr>
                  <m:t>h</m:t>
                </m:r>
              </m:e>
            </m:acc>
          </m:e>
          <m:sub>
            <m:r>
              <w:rPr>
                <w:rFonts w:ascii="Cambria Math" w:hAnsi="Cambria Math"/>
              </w:rPr>
              <m:t>i</m:t>
            </m:r>
          </m:sub>
        </m:sSub>
      </m:oMath>
      <w:r w:rsidRPr="00AD77FE">
        <w:t xml:space="preserve"> corresponds to the specific enthalpy of substance i. The enthalpy of formation values were obtained from thermodynamic tables available in the literature (CRC Handbook, 2003).</w:t>
      </w:r>
    </w:p>
    <w:p w14:paraId="26B352CC" w14:textId="77777777" w:rsidR="00AD77FE" w:rsidRDefault="00AD77FE" w:rsidP="003534E2">
      <w:pPr>
        <w:pStyle w:val="CETBodytext"/>
      </w:pPr>
    </w:p>
    <w:p w14:paraId="487C14AE" w14:textId="77777777" w:rsidR="00AF6264" w:rsidRDefault="00AF6264" w:rsidP="00AF6264">
      <w:pPr>
        <w:pStyle w:val="CETHeading1"/>
        <w:tabs>
          <w:tab w:val="clear" w:pos="360"/>
          <w:tab w:val="right" w:pos="7100"/>
        </w:tabs>
        <w:jc w:val="both"/>
        <w:rPr>
          <w:lang w:val="en-GB"/>
        </w:rPr>
      </w:pPr>
      <w:r w:rsidRPr="00AF6264">
        <w:rPr>
          <w:lang w:val="it-IT"/>
        </w:rPr>
        <w:t>Case Study</w:t>
      </w:r>
    </w:p>
    <w:p w14:paraId="5B32365E" w14:textId="77777777" w:rsidR="007457C5" w:rsidRDefault="007457C5" w:rsidP="00453E24">
      <w:pPr>
        <w:pStyle w:val="CETBodytext"/>
      </w:pPr>
    </w:p>
    <w:p w14:paraId="305CA837" w14:textId="77777777" w:rsidR="00453E24" w:rsidRDefault="00DE74BA" w:rsidP="00453E24">
      <w:pPr>
        <w:pStyle w:val="CETBodytext"/>
      </w:pPr>
      <w:r w:rsidRPr="00DE74BA">
        <w:t>The substances considered in the model were divided into potential reactants and products. The feedstocks evaluated were:</w:t>
      </w:r>
    </w:p>
    <w:p w14:paraId="6DAE0751" w14:textId="77777777" w:rsidR="00AF6264" w:rsidRDefault="00DE74BA" w:rsidP="006F47C4">
      <w:pPr>
        <w:pStyle w:val="CETnumberingbullets"/>
      </w:pPr>
      <w:r w:rsidRPr="00DE74BA">
        <w:t>Gl</w:t>
      </w:r>
      <w:r>
        <w:t>y</w:t>
      </w:r>
      <w:r w:rsidRPr="00DE74BA">
        <w:t>cerol (C</w:t>
      </w:r>
      <w:r w:rsidRPr="00DE74BA">
        <w:rPr>
          <w:vertAlign w:val="subscript"/>
        </w:rPr>
        <w:t>3</w:t>
      </w:r>
      <w:r w:rsidRPr="00DE74BA">
        <w:t>H</w:t>
      </w:r>
      <w:r w:rsidRPr="00DE74BA">
        <w:rPr>
          <w:vertAlign w:val="subscript"/>
        </w:rPr>
        <w:t>8</w:t>
      </w:r>
      <w:r w:rsidRPr="00DE74BA">
        <w:t>O</w:t>
      </w:r>
      <w:r w:rsidRPr="00DE74BA">
        <w:rPr>
          <w:vertAlign w:val="subscript"/>
        </w:rPr>
        <w:t>3</w:t>
      </w:r>
      <w:r w:rsidRPr="00DE74BA">
        <w:t>)</w:t>
      </w:r>
      <w:r w:rsidR="006F47C4">
        <w:t xml:space="preserve">; </w:t>
      </w:r>
    </w:p>
    <w:p w14:paraId="485B9740" w14:textId="77777777" w:rsidR="00AF6264" w:rsidRDefault="00DE74BA" w:rsidP="006F47C4">
      <w:pPr>
        <w:pStyle w:val="CETnumberingbullets"/>
      </w:pPr>
      <w:r w:rsidRPr="00DE74BA">
        <w:t>Oxygen (O</w:t>
      </w:r>
      <w:r w:rsidRPr="006F47C4">
        <w:rPr>
          <w:vertAlign w:val="subscript"/>
        </w:rPr>
        <w:t>2</w:t>
      </w:r>
      <w:r w:rsidRPr="00DE74BA">
        <w:t>)</w:t>
      </w:r>
      <w:r w:rsidR="006F47C4">
        <w:t xml:space="preserve">; </w:t>
      </w:r>
    </w:p>
    <w:p w14:paraId="7CC65095" w14:textId="77777777" w:rsidR="00AF6264" w:rsidRDefault="00DE74BA" w:rsidP="006F47C4">
      <w:pPr>
        <w:pStyle w:val="CETnumberingbullets"/>
      </w:pPr>
      <w:r w:rsidRPr="00DE74BA">
        <w:t>Nitrogen (N</w:t>
      </w:r>
      <w:r w:rsidRPr="006F47C4">
        <w:rPr>
          <w:vertAlign w:val="subscript"/>
        </w:rPr>
        <w:t>2</w:t>
      </w:r>
      <w:r w:rsidRPr="00DE74BA">
        <w:t>)</w:t>
      </w:r>
      <w:r w:rsidR="00AF6264">
        <w:t>;</w:t>
      </w:r>
    </w:p>
    <w:p w14:paraId="5F0E5844" w14:textId="77777777" w:rsidR="00DE74BA" w:rsidRPr="00DE74BA" w:rsidRDefault="00DE74BA" w:rsidP="006F47C4">
      <w:pPr>
        <w:pStyle w:val="CETnumberingbullets"/>
      </w:pPr>
      <w:r>
        <w:t>Water</w:t>
      </w:r>
      <w:r w:rsidRPr="00DE74BA">
        <w:t xml:space="preserve"> (H</w:t>
      </w:r>
      <w:r w:rsidRPr="006F47C4">
        <w:rPr>
          <w:vertAlign w:val="subscript"/>
        </w:rPr>
        <w:t>2</w:t>
      </w:r>
      <w:r w:rsidRPr="00DE74BA">
        <w:t>O)</w:t>
      </w:r>
      <w:r w:rsidR="00AF6264">
        <w:t>.</w:t>
      </w:r>
    </w:p>
    <w:p w14:paraId="445D1786" w14:textId="77777777" w:rsidR="00DE74BA" w:rsidRDefault="00DE74BA" w:rsidP="00453E24">
      <w:pPr>
        <w:pStyle w:val="CETBodytext"/>
      </w:pPr>
    </w:p>
    <w:p w14:paraId="425C3BF5" w14:textId="77777777" w:rsidR="00DE74BA" w:rsidRDefault="00DE74BA" w:rsidP="00DE74BA">
      <w:pPr>
        <w:pStyle w:val="CETBodytext"/>
      </w:pPr>
      <w:r w:rsidRPr="00DE74BA">
        <w:t xml:space="preserve">The potential products were selected based on the literature, encompassing species obtained from glycerol through </w:t>
      </w:r>
      <w:r w:rsidR="004E1FD7">
        <w:t xml:space="preserve">known </w:t>
      </w:r>
      <w:r w:rsidRPr="00DE74BA">
        <w:t xml:space="preserve">thermochemical routes such as oxidation, hydrogenolysis, and dehydration (Koronian et al., 2022). In total, fifteen products were considered, including hydrogen. </w:t>
      </w:r>
      <w:r w:rsidR="002F263A" w:rsidRPr="002F263A">
        <w:t>Table 1 shows the chemical formula, standard enthalpy of formation, and unit prices, along with the reference year adopted, for each substance considered in the model.</w:t>
      </w:r>
    </w:p>
    <w:p w14:paraId="6774FC65" w14:textId="77777777" w:rsidR="007457C5" w:rsidRDefault="007457C5" w:rsidP="00DE74BA">
      <w:pPr>
        <w:pStyle w:val="CETBodytext"/>
      </w:pPr>
    </w:p>
    <w:p w14:paraId="0E039918" w14:textId="77777777" w:rsidR="007457C5" w:rsidRDefault="007457C5" w:rsidP="00DE74BA">
      <w:pPr>
        <w:pStyle w:val="CETBodytext"/>
      </w:pPr>
    </w:p>
    <w:p w14:paraId="3B14DE7F" w14:textId="77777777" w:rsidR="007457C5" w:rsidRDefault="007457C5" w:rsidP="00DE74BA">
      <w:pPr>
        <w:pStyle w:val="CETBodytext"/>
      </w:pPr>
    </w:p>
    <w:p w14:paraId="2AA8917E" w14:textId="77777777" w:rsidR="00164D93" w:rsidRPr="00B57B36" w:rsidRDefault="00164D93" w:rsidP="00164D93">
      <w:pPr>
        <w:pStyle w:val="CETTabletitle"/>
      </w:pPr>
      <w:r w:rsidRPr="00B57B36">
        <w:lastRenderedPageBreak/>
        <w:t xml:space="preserve">Table 1: </w:t>
      </w:r>
      <w:r w:rsidRPr="00164D93">
        <w:t>Chemical formula and standard enthalpy of formation of the substances</w:t>
      </w:r>
      <w:r w:rsidR="00003538">
        <w:t xml:space="preserve"> and </w:t>
      </w:r>
      <w:r w:rsidR="00003538" w:rsidRPr="00003538">
        <w:t>unit price</w:t>
      </w:r>
    </w:p>
    <w:tbl>
      <w:tblPr>
        <w:tblW w:w="864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1102"/>
        <w:gridCol w:w="1260"/>
        <w:gridCol w:w="1323"/>
        <w:gridCol w:w="1418"/>
        <w:gridCol w:w="2119"/>
      </w:tblGrid>
      <w:tr w:rsidR="00003538" w:rsidRPr="00B57B36" w14:paraId="1F832418" w14:textId="77777777" w:rsidTr="00CD3498">
        <w:tc>
          <w:tcPr>
            <w:tcW w:w="1418" w:type="dxa"/>
            <w:tcBorders>
              <w:top w:val="single" w:sz="12" w:space="0" w:color="008000"/>
              <w:bottom w:val="single" w:sz="6" w:space="0" w:color="008000"/>
            </w:tcBorders>
            <w:shd w:val="clear" w:color="auto" w:fill="FFFFFF"/>
          </w:tcPr>
          <w:p w14:paraId="1FE26312" w14:textId="77777777" w:rsidR="00003538" w:rsidRPr="00B57B36" w:rsidRDefault="00003538" w:rsidP="00003538">
            <w:pPr>
              <w:pStyle w:val="CETBodytext"/>
              <w:rPr>
                <w:lang w:val="en-GB"/>
              </w:rPr>
            </w:pPr>
            <w:r w:rsidRPr="00562A71">
              <w:rPr>
                <w:lang w:val="en-GB"/>
              </w:rPr>
              <w:t>Component</w:t>
            </w:r>
          </w:p>
        </w:tc>
        <w:tc>
          <w:tcPr>
            <w:tcW w:w="1102" w:type="dxa"/>
            <w:tcBorders>
              <w:top w:val="single" w:sz="12" w:space="0" w:color="008000"/>
              <w:bottom w:val="single" w:sz="6" w:space="0" w:color="008000"/>
            </w:tcBorders>
            <w:shd w:val="clear" w:color="auto" w:fill="FFFFFF"/>
          </w:tcPr>
          <w:p w14:paraId="4AFF6A47" w14:textId="77777777" w:rsidR="00003538" w:rsidRPr="00B57B36" w:rsidRDefault="00003538" w:rsidP="00D2289E">
            <w:pPr>
              <w:pStyle w:val="CETBodytext"/>
              <w:jc w:val="left"/>
              <w:rPr>
                <w:lang w:val="en-GB"/>
              </w:rPr>
            </w:pPr>
            <w:r>
              <w:rPr>
                <w:lang w:val="en-GB"/>
              </w:rPr>
              <w:t>F</w:t>
            </w:r>
            <w:r w:rsidRPr="00164D93">
              <w:rPr>
                <w:lang w:val="en-GB"/>
              </w:rPr>
              <w:t>ormula</w:t>
            </w:r>
          </w:p>
        </w:tc>
        <w:tc>
          <w:tcPr>
            <w:tcW w:w="1260" w:type="dxa"/>
            <w:tcBorders>
              <w:top w:val="single" w:sz="12" w:space="0" w:color="008000"/>
              <w:bottom w:val="single" w:sz="6" w:space="0" w:color="008000"/>
            </w:tcBorders>
            <w:shd w:val="clear" w:color="auto" w:fill="FFFFFF"/>
          </w:tcPr>
          <w:p w14:paraId="439CFD3C" w14:textId="77777777" w:rsidR="00003538" w:rsidRPr="00B57B36" w:rsidRDefault="00003538" w:rsidP="006F5E93">
            <w:pPr>
              <w:pStyle w:val="CETBodytext"/>
              <w:ind w:right="57"/>
              <w:jc w:val="right"/>
              <w:rPr>
                <w:lang w:val="en-GB"/>
              </w:rPr>
            </w:pPr>
            <w:r w:rsidRPr="00164D93">
              <w:rPr>
                <w:lang w:val="en-GB"/>
              </w:rPr>
              <w:t>H°f (kJ/mol)</w:t>
            </w:r>
          </w:p>
        </w:tc>
        <w:tc>
          <w:tcPr>
            <w:tcW w:w="1323" w:type="dxa"/>
            <w:tcBorders>
              <w:top w:val="single" w:sz="12" w:space="0" w:color="008000"/>
              <w:bottom w:val="single" w:sz="6" w:space="0" w:color="008000"/>
            </w:tcBorders>
            <w:shd w:val="clear" w:color="auto" w:fill="FFFFFF"/>
          </w:tcPr>
          <w:p w14:paraId="78ABBFA9" w14:textId="77777777" w:rsidR="00003538" w:rsidRPr="00164D93" w:rsidRDefault="00003538" w:rsidP="0041029E">
            <w:pPr>
              <w:pStyle w:val="CETBodytext"/>
              <w:ind w:right="57"/>
              <w:jc w:val="right"/>
              <w:rPr>
                <w:lang w:val="en-GB"/>
              </w:rPr>
            </w:pPr>
            <w:r w:rsidRPr="00562A71">
              <w:rPr>
                <w:lang w:val="en-GB"/>
              </w:rPr>
              <w:t>Price (US$/kg)</w:t>
            </w:r>
          </w:p>
        </w:tc>
        <w:tc>
          <w:tcPr>
            <w:tcW w:w="1418" w:type="dxa"/>
            <w:tcBorders>
              <w:top w:val="single" w:sz="12" w:space="0" w:color="008000"/>
              <w:bottom w:val="single" w:sz="6" w:space="0" w:color="008000"/>
            </w:tcBorders>
            <w:shd w:val="clear" w:color="auto" w:fill="FFFFFF"/>
          </w:tcPr>
          <w:p w14:paraId="6FE4A091" w14:textId="77777777" w:rsidR="00003538" w:rsidRPr="00164D93" w:rsidRDefault="00003538" w:rsidP="005F7E89">
            <w:pPr>
              <w:pStyle w:val="CETBodytext"/>
              <w:ind w:right="57"/>
              <w:jc w:val="right"/>
              <w:rPr>
                <w:lang w:val="en-GB"/>
              </w:rPr>
            </w:pPr>
            <w:r w:rsidRPr="00562A71">
              <w:rPr>
                <w:lang w:val="en-GB"/>
              </w:rPr>
              <w:t>Reference year</w:t>
            </w:r>
            <w:r>
              <w:rPr>
                <w:lang w:val="en-GB"/>
              </w:rPr>
              <w:t xml:space="preserve"> </w:t>
            </w:r>
          </w:p>
        </w:tc>
        <w:tc>
          <w:tcPr>
            <w:tcW w:w="2119" w:type="dxa"/>
            <w:tcBorders>
              <w:top w:val="single" w:sz="12" w:space="0" w:color="008000"/>
              <w:bottom w:val="single" w:sz="6" w:space="0" w:color="008000"/>
            </w:tcBorders>
            <w:shd w:val="clear" w:color="auto" w:fill="FFFFFF"/>
          </w:tcPr>
          <w:p w14:paraId="30F0C35A" w14:textId="77777777" w:rsidR="00003538" w:rsidRPr="00164D93" w:rsidRDefault="00003538" w:rsidP="00A510D4">
            <w:pPr>
              <w:pStyle w:val="CETBodytext"/>
              <w:jc w:val="right"/>
              <w:rPr>
                <w:lang w:val="en-GB"/>
              </w:rPr>
            </w:pPr>
            <w:r>
              <w:rPr>
                <w:lang w:val="en-GB"/>
              </w:rPr>
              <w:t>Source</w:t>
            </w:r>
          </w:p>
        </w:tc>
      </w:tr>
      <w:tr w:rsidR="00003538" w:rsidRPr="00B57B36" w14:paraId="2E891469" w14:textId="77777777" w:rsidTr="00CD3498">
        <w:tc>
          <w:tcPr>
            <w:tcW w:w="1418" w:type="dxa"/>
            <w:shd w:val="clear" w:color="auto" w:fill="FFFFFF"/>
          </w:tcPr>
          <w:p w14:paraId="050C82BE" w14:textId="77777777" w:rsidR="00003538" w:rsidRPr="00B57B36" w:rsidRDefault="00003538" w:rsidP="00003538">
            <w:pPr>
              <w:pStyle w:val="CETBodytext"/>
              <w:rPr>
                <w:lang w:val="en-GB"/>
              </w:rPr>
            </w:pPr>
            <w:r w:rsidRPr="006F47C4">
              <w:rPr>
                <w:lang w:val="en-GB"/>
              </w:rPr>
              <w:t>Formic acid</w:t>
            </w:r>
          </w:p>
        </w:tc>
        <w:tc>
          <w:tcPr>
            <w:tcW w:w="1102" w:type="dxa"/>
            <w:shd w:val="clear" w:color="auto" w:fill="FFFFFF"/>
          </w:tcPr>
          <w:p w14:paraId="4C005437" w14:textId="77777777" w:rsidR="00003538" w:rsidRPr="00B57B36" w:rsidRDefault="00003538" w:rsidP="00003538">
            <w:pPr>
              <w:pStyle w:val="CETBodytext"/>
              <w:jc w:val="left"/>
              <w:rPr>
                <w:lang w:val="en-GB"/>
              </w:rPr>
            </w:pPr>
            <w:r w:rsidRPr="00F55488">
              <w:rPr>
                <w:lang w:val="en-GB"/>
              </w:rPr>
              <w:t>CH</w:t>
            </w:r>
            <w:r w:rsidRPr="00F55488">
              <w:rPr>
                <w:vertAlign w:val="subscript"/>
                <w:lang w:val="en-GB"/>
              </w:rPr>
              <w:t>2</w:t>
            </w:r>
            <w:r w:rsidRPr="00F55488">
              <w:rPr>
                <w:lang w:val="en-GB"/>
              </w:rPr>
              <w:t>O</w:t>
            </w:r>
            <w:r w:rsidRPr="00F55488">
              <w:rPr>
                <w:vertAlign w:val="subscript"/>
                <w:lang w:val="en-GB"/>
              </w:rPr>
              <w:t>2</w:t>
            </w:r>
          </w:p>
        </w:tc>
        <w:tc>
          <w:tcPr>
            <w:tcW w:w="1260" w:type="dxa"/>
            <w:shd w:val="clear" w:color="auto" w:fill="FFFFFF"/>
          </w:tcPr>
          <w:p w14:paraId="43ABADBA" w14:textId="77777777" w:rsidR="00003538" w:rsidRPr="00B57B36" w:rsidRDefault="00003538" w:rsidP="006F5E93">
            <w:pPr>
              <w:pStyle w:val="CETBodytext"/>
              <w:ind w:right="57"/>
              <w:jc w:val="right"/>
              <w:rPr>
                <w:lang w:val="en-GB"/>
              </w:rPr>
            </w:pPr>
            <w:r>
              <w:rPr>
                <w:lang w:val="en-GB"/>
              </w:rPr>
              <w:t>-</w:t>
            </w:r>
            <w:r w:rsidRPr="00164D93">
              <w:rPr>
                <w:lang w:val="en-GB"/>
              </w:rPr>
              <w:t>425</w:t>
            </w:r>
            <w:r>
              <w:rPr>
                <w:lang w:val="en-GB"/>
              </w:rPr>
              <w:t>.00</w:t>
            </w:r>
          </w:p>
        </w:tc>
        <w:tc>
          <w:tcPr>
            <w:tcW w:w="1323" w:type="dxa"/>
            <w:shd w:val="clear" w:color="auto" w:fill="FFFFFF"/>
          </w:tcPr>
          <w:p w14:paraId="2C349A0E" w14:textId="77777777" w:rsidR="00003538" w:rsidRDefault="00003538" w:rsidP="0041029E">
            <w:pPr>
              <w:pStyle w:val="CETBodytext"/>
              <w:ind w:right="57"/>
              <w:jc w:val="right"/>
              <w:rPr>
                <w:lang w:val="en-GB"/>
              </w:rPr>
            </w:pPr>
            <w:r w:rsidRPr="006F47C4">
              <w:rPr>
                <w:lang w:val="en-GB"/>
              </w:rPr>
              <w:t>0</w:t>
            </w:r>
            <w:r>
              <w:rPr>
                <w:lang w:val="en-GB"/>
              </w:rPr>
              <w:t>.</w:t>
            </w:r>
            <w:r w:rsidRPr="006F47C4">
              <w:rPr>
                <w:lang w:val="en-GB"/>
              </w:rPr>
              <w:t>44</w:t>
            </w:r>
          </w:p>
        </w:tc>
        <w:tc>
          <w:tcPr>
            <w:tcW w:w="1418" w:type="dxa"/>
            <w:shd w:val="clear" w:color="auto" w:fill="FFFFFF"/>
          </w:tcPr>
          <w:p w14:paraId="7906CA9F" w14:textId="77777777" w:rsidR="00003538" w:rsidRDefault="00003538" w:rsidP="005F7E89">
            <w:pPr>
              <w:pStyle w:val="CETBodytext"/>
              <w:ind w:right="57"/>
              <w:jc w:val="right"/>
              <w:rPr>
                <w:lang w:val="en-GB"/>
              </w:rPr>
            </w:pPr>
            <w:r>
              <w:rPr>
                <w:lang w:val="en-GB"/>
              </w:rPr>
              <w:t>2024</w:t>
            </w:r>
          </w:p>
        </w:tc>
        <w:tc>
          <w:tcPr>
            <w:tcW w:w="2119" w:type="dxa"/>
            <w:shd w:val="clear" w:color="auto" w:fill="FFFFFF"/>
          </w:tcPr>
          <w:p w14:paraId="1498372A" w14:textId="77777777" w:rsidR="00003538" w:rsidRDefault="00003538" w:rsidP="00D35F47">
            <w:pPr>
              <w:pStyle w:val="CETBodytext"/>
              <w:jc w:val="right"/>
              <w:rPr>
                <w:lang w:val="en-GB"/>
              </w:rPr>
            </w:pPr>
            <w:r w:rsidRPr="006F47C4">
              <w:rPr>
                <w:rFonts w:cs="Arial"/>
                <w:szCs w:val="18"/>
                <w:lang w:val="en-GB"/>
              </w:rPr>
              <w:t>Sunsirs (2025)</w:t>
            </w:r>
          </w:p>
        </w:tc>
      </w:tr>
      <w:tr w:rsidR="00003538" w:rsidRPr="00B57B36" w14:paraId="3A509058" w14:textId="77777777" w:rsidTr="00CD3498">
        <w:tc>
          <w:tcPr>
            <w:tcW w:w="1418" w:type="dxa"/>
            <w:shd w:val="clear" w:color="auto" w:fill="FFFFFF"/>
          </w:tcPr>
          <w:p w14:paraId="5BE0C4ED" w14:textId="77777777" w:rsidR="00003538" w:rsidRPr="00B57B36" w:rsidRDefault="00003538" w:rsidP="00003538">
            <w:pPr>
              <w:pStyle w:val="CETBodytext"/>
              <w:ind w:right="-1"/>
              <w:rPr>
                <w:rFonts w:cs="Arial"/>
                <w:szCs w:val="18"/>
                <w:lang w:val="en-GB"/>
              </w:rPr>
            </w:pPr>
            <w:r w:rsidRPr="006F47C4">
              <w:rPr>
                <w:rFonts w:cs="Arial"/>
                <w:szCs w:val="18"/>
                <w:lang w:val="en-GB"/>
              </w:rPr>
              <w:t>Glycolic acid</w:t>
            </w:r>
          </w:p>
        </w:tc>
        <w:tc>
          <w:tcPr>
            <w:tcW w:w="1102" w:type="dxa"/>
            <w:shd w:val="clear" w:color="auto" w:fill="FFFFFF"/>
          </w:tcPr>
          <w:p w14:paraId="58EFAE8F"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cs="Arial"/>
                <w:szCs w:val="18"/>
                <w:vertAlign w:val="subscript"/>
                <w:lang w:val="en-GB"/>
              </w:rPr>
              <w:t>2</w:t>
            </w:r>
            <w:r w:rsidRPr="00F55488">
              <w:rPr>
                <w:rFonts w:cs="Arial"/>
                <w:szCs w:val="18"/>
                <w:lang w:val="en-GB"/>
              </w:rPr>
              <w:t>H</w:t>
            </w:r>
            <w:r w:rsidRPr="00F55488">
              <w:rPr>
                <w:rFonts w:cs="Arial"/>
                <w:szCs w:val="18"/>
                <w:vertAlign w:val="subscript"/>
                <w:lang w:val="en-GB"/>
              </w:rPr>
              <w:t>4</w:t>
            </w:r>
            <w:r w:rsidRPr="00F55488">
              <w:rPr>
                <w:rFonts w:cs="Arial"/>
                <w:szCs w:val="18"/>
                <w:lang w:val="en-GB"/>
              </w:rPr>
              <w:t>O</w:t>
            </w:r>
            <w:r w:rsidRPr="00F55488">
              <w:rPr>
                <w:rFonts w:cs="Arial"/>
                <w:szCs w:val="18"/>
                <w:vertAlign w:val="subscript"/>
                <w:lang w:val="en-GB"/>
              </w:rPr>
              <w:t>3</w:t>
            </w:r>
          </w:p>
        </w:tc>
        <w:tc>
          <w:tcPr>
            <w:tcW w:w="1260" w:type="dxa"/>
            <w:shd w:val="clear" w:color="auto" w:fill="FFFFFF"/>
          </w:tcPr>
          <w:p w14:paraId="7E088474" w14:textId="77777777" w:rsidR="00003538" w:rsidRPr="00B57B36" w:rsidRDefault="00003538" w:rsidP="006F5E93">
            <w:pPr>
              <w:pStyle w:val="CETBodytext"/>
              <w:ind w:right="57"/>
              <w:jc w:val="right"/>
              <w:rPr>
                <w:rFonts w:cs="Arial"/>
                <w:szCs w:val="18"/>
                <w:lang w:val="en-GB"/>
              </w:rPr>
            </w:pPr>
            <w:r>
              <w:rPr>
                <w:rFonts w:cs="Arial"/>
                <w:szCs w:val="18"/>
                <w:lang w:val="en-GB"/>
              </w:rPr>
              <w:t>-583.00</w:t>
            </w:r>
          </w:p>
        </w:tc>
        <w:tc>
          <w:tcPr>
            <w:tcW w:w="1323" w:type="dxa"/>
            <w:shd w:val="clear" w:color="auto" w:fill="FFFFFF"/>
          </w:tcPr>
          <w:p w14:paraId="27CE548C" w14:textId="77777777" w:rsidR="00003538" w:rsidRDefault="00003538" w:rsidP="0041029E">
            <w:pPr>
              <w:pStyle w:val="CETBodytext"/>
              <w:ind w:right="57"/>
              <w:jc w:val="right"/>
              <w:rPr>
                <w:rFonts w:cs="Arial"/>
                <w:szCs w:val="18"/>
                <w:lang w:val="en-GB"/>
              </w:rPr>
            </w:pPr>
            <w:r w:rsidRPr="006F47C4">
              <w:rPr>
                <w:rFonts w:cs="Arial"/>
                <w:szCs w:val="18"/>
                <w:lang w:val="en-GB"/>
              </w:rPr>
              <w:t>2</w:t>
            </w:r>
            <w:r>
              <w:rPr>
                <w:rFonts w:cs="Arial"/>
                <w:szCs w:val="18"/>
                <w:lang w:val="en-GB"/>
              </w:rPr>
              <w:t>.</w:t>
            </w:r>
            <w:r w:rsidRPr="006F47C4">
              <w:rPr>
                <w:rFonts w:cs="Arial"/>
                <w:szCs w:val="18"/>
                <w:lang w:val="en-GB"/>
              </w:rPr>
              <w:t>68</w:t>
            </w:r>
          </w:p>
        </w:tc>
        <w:tc>
          <w:tcPr>
            <w:tcW w:w="1418" w:type="dxa"/>
            <w:shd w:val="clear" w:color="auto" w:fill="FFFFFF"/>
          </w:tcPr>
          <w:p w14:paraId="318E42D2" w14:textId="77777777" w:rsidR="00003538" w:rsidRDefault="00003538" w:rsidP="005F7E89">
            <w:pPr>
              <w:pStyle w:val="CETBodytext"/>
              <w:ind w:right="57"/>
              <w:jc w:val="right"/>
              <w:rPr>
                <w:rFonts w:cs="Arial"/>
                <w:szCs w:val="18"/>
                <w:lang w:val="en-GB"/>
              </w:rPr>
            </w:pPr>
            <w:r>
              <w:rPr>
                <w:rFonts w:cs="Arial"/>
                <w:szCs w:val="18"/>
                <w:lang w:val="en-GB"/>
              </w:rPr>
              <w:t>2022</w:t>
            </w:r>
          </w:p>
        </w:tc>
        <w:tc>
          <w:tcPr>
            <w:tcW w:w="2119" w:type="dxa"/>
            <w:shd w:val="clear" w:color="auto" w:fill="FFFFFF"/>
          </w:tcPr>
          <w:p w14:paraId="39A64277" w14:textId="77777777" w:rsidR="00003538" w:rsidRDefault="00003538" w:rsidP="00D35F47">
            <w:pPr>
              <w:pStyle w:val="CETBodytext"/>
              <w:ind w:right="-1"/>
              <w:jc w:val="right"/>
              <w:rPr>
                <w:rFonts w:cs="Arial"/>
                <w:szCs w:val="18"/>
                <w:lang w:val="en-GB"/>
              </w:rPr>
            </w:pPr>
            <w:r>
              <w:rPr>
                <w:rFonts w:cs="Arial"/>
                <w:szCs w:val="18"/>
                <w:lang w:val="en-GB"/>
              </w:rPr>
              <w:t>P</w:t>
            </w:r>
            <w:r w:rsidRPr="006F47C4">
              <w:rPr>
                <w:rFonts w:cs="Arial"/>
                <w:szCs w:val="18"/>
                <w:lang w:val="en-GB"/>
              </w:rPr>
              <w:t>Market research (2025)</w:t>
            </w:r>
          </w:p>
        </w:tc>
      </w:tr>
      <w:tr w:rsidR="00003538" w:rsidRPr="00B57B36" w14:paraId="1DCC298A" w14:textId="77777777" w:rsidTr="00CD3498">
        <w:tc>
          <w:tcPr>
            <w:tcW w:w="1418" w:type="dxa"/>
            <w:shd w:val="clear" w:color="auto" w:fill="FFFFFF"/>
          </w:tcPr>
          <w:p w14:paraId="3FBE53E4" w14:textId="77777777" w:rsidR="00003538" w:rsidRPr="00B57B36" w:rsidRDefault="00003538" w:rsidP="00003538">
            <w:pPr>
              <w:pStyle w:val="CETBodytext"/>
              <w:ind w:right="-1"/>
              <w:rPr>
                <w:rFonts w:cs="Arial"/>
                <w:szCs w:val="18"/>
                <w:lang w:val="en-GB"/>
              </w:rPr>
            </w:pPr>
            <w:r w:rsidRPr="006F47C4">
              <w:rPr>
                <w:rFonts w:cs="Arial"/>
                <w:szCs w:val="18"/>
                <w:lang w:val="en-GB"/>
              </w:rPr>
              <w:t>Lactic acid</w:t>
            </w:r>
          </w:p>
        </w:tc>
        <w:tc>
          <w:tcPr>
            <w:tcW w:w="1102" w:type="dxa"/>
            <w:shd w:val="clear" w:color="auto" w:fill="FFFFFF"/>
          </w:tcPr>
          <w:p w14:paraId="03A51618"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ascii="Cambria Math" w:hAnsi="Cambria Math" w:cs="Cambria Math"/>
                <w:szCs w:val="18"/>
                <w:lang w:val="en-GB"/>
              </w:rPr>
              <w:t>₃</w:t>
            </w:r>
            <w:r w:rsidRPr="00F55488">
              <w:rPr>
                <w:rFonts w:cs="Arial"/>
                <w:szCs w:val="18"/>
                <w:lang w:val="en-GB"/>
              </w:rPr>
              <w:t>H</w:t>
            </w:r>
            <w:r w:rsidRPr="00F55488">
              <w:rPr>
                <w:rFonts w:ascii="Cambria Math" w:hAnsi="Cambria Math" w:cs="Cambria Math"/>
                <w:szCs w:val="18"/>
                <w:lang w:val="en-GB"/>
              </w:rPr>
              <w:t>₆</w:t>
            </w:r>
            <w:r w:rsidRPr="00F55488">
              <w:rPr>
                <w:rFonts w:cs="Arial"/>
                <w:szCs w:val="18"/>
                <w:lang w:val="en-GB"/>
              </w:rPr>
              <w:t>O</w:t>
            </w:r>
            <w:r w:rsidRPr="00F55488">
              <w:rPr>
                <w:rFonts w:ascii="Cambria Math" w:hAnsi="Cambria Math" w:cs="Cambria Math"/>
                <w:szCs w:val="18"/>
                <w:lang w:val="en-GB"/>
              </w:rPr>
              <w:t>₃</w:t>
            </w:r>
          </w:p>
        </w:tc>
        <w:tc>
          <w:tcPr>
            <w:tcW w:w="1260" w:type="dxa"/>
            <w:shd w:val="clear" w:color="auto" w:fill="FFFFFF"/>
          </w:tcPr>
          <w:p w14:paraId="6F4D3609" w14:textId="77777777" w:rsidR="00003538" w:rsidRPr="00B57B36" w:rsidRDefault="00003538" w:rsidP="006F5E93">
            <w:pPr>
              <w:pStyle w:val="CETBodytext"/>
              <w:ind w:right="57"/>
              <w:jc w:val="right"/>
              <w:rPr>
                <w:rFonts w:cs="Arial"/>
                <w:szCs w:val="18"/>
                <w:lang w:val="en-GB"/>
              </w:rPr>
            </w:pPr>
            <w:r>
              <w:rPr>
                <w:rFonts w:cs="Arial"/>
                <w:szCs w:val="18"/>
                <w:lang w:val="en-GB"/>
              </w:rPr>
              <w:t>-674.50</w:t>
            </w:r>
          </w:p>
        </w:tc>
        <w:tc>
          <w:tcPr>
            <w:tcW w:w="1323" w:type="dxa"/>
            <w:shd w:val="clear" w:color="auto" w:fill="FFFFFF"/>
          </w:tcPr>
          <w:p w14:paraId="001EF4A1" w14:textId="77777777" w:rsidR="00003538" w:rsidRDefault="00003538" w:rsidP="0041029E">
            <w:pPr>
              <w:pStyle w:val="CETBodytext"/>
              <w:ind w:right="57"/>
              <w:jc w:val="right"/>
              <w:rPr>
                <w:rFonts w:cs="Arial"/>
                <w:szCs w:val="18"/>
                <w:lang w:val="en-GB"/>
              </w:rPr>
            </w:pPr>
            <w:r w:rsidRPr="006F47C4">
              <w:rPr>
                <w:rFonts w:cs="Arial"/>
                <w:szCs w:val="18"/>
                <w:lang w:val="en-GB"/>
              </w:rPr>
              <w:t>1</w:t>
            </w:r>
            <w:r>
              <w:rPr>
                <w:rFonts w:cs="Arial"/>
                <w:szCs w:val="18"/>
                <w:lang w:val="en-GB"/>
              </w:rPr>
              <w:t>.</w:t>
            </w:r>
            <w:r w:rsidRPr="006F47C4">
              <w:rPr>
                <w:rFonts w:cs="Arial"/>
                <w:szCs w:val="18"/>
                <w:lang w:val="en-GB"/>
              </w:rPr>
              <w:t>15</w:t>
            </w:r>
          </w:p>
        </w:tc>
        <w:tc>
          <w:tcPr>
            <w:tcW w:w="1418" w:type="dxa"/>
            <w:shd w:val="clear" w:color="auto" w:fill="FFFFFF"/>
          </w:tcPr>
          <w:p w14:paraId="3E9B739E" w14:textId="77777777" w:rsidR="00003538" w:rsidRDefault="00003538" w:rsidP="005F7E89">
            <w:pPr>
              <w:pStyle w:val="CETBodytext"/>
              <w:ind w:right="57"/>
              <w:jc w:val="right"/>
              <w:rPr>
                <w:rFonts w:cs="Arial"/>
                <w:szCs w:val="18"/>
                <w:lang w:val="en-GB"/>
              </w:rPr>
            </w:pPr>
            <w:r>
              <w:rPr>
                <w:rFonts w:cs="Arial"/>
                <w:szCs w:val="18"/>
                <w:lang w:val="en-GB"/>
              </w:rPr>
              <w:t>2024</w:t>
            </w:r>
          </w:p>
        </w:tc>
        <w:tc>
          <w:tcPr>
            <w:tcW w:w="2119" w:type="dxa"/>
            <w:shd w:val="clear" w:color="auto" w:fill="FFFFFF"/>
          </w:tcPr>
          <w:p w14:paraId="6CAF57E7" w14:textId="77777777" w:rsidR="00003538" w:rsidRDefault="00003538" w:rsidP="00D35F47">
            <w:pPr>
              <w:pStyle w:val="CETBodytext"/>
              <w:ind w:right="-1"/>
              <w:jc w:val="right"/>
              <w:rPr>
                <w:rFonts w:cs="Arial"/>
                <w:szCs w:val="18"/>
                <w:lang w:val="en-GB"/>
              </w:rPr>
            </w:pPr>
            <w:r w:rsidRPr="006F47C4">
              <w:rPr>
                <w:rFonts w:cs="Arial"/>
                <w:szCs w:val="18"/>
                <w:lang w:val="en-GB"/>
              </w:rPr>
              <w:t>Imarc (2025</w:t>
            </w:r>
            <w:r w:rsidR="00A86FC0">
              <w:rPr>
                <w:rFonts w:cs="Arial"/>
                <w:szCs w:val="18"/>
                <w:lang w:val="en-GB"/>
              </w:rPr>
              <w:t>a</w:t>
            </w:r>
            <w:r w:rsidRPr="006F47C4">
              <w:rPr>
                <w:rFonts w:cs="Arial"/>
                <w:szCs w:val="18"/>
                <w:lang w:val="en-GB"/>
              </w:rPr>
              <w:t>)</w:t>
            </w:r>
          </w:p>
        </w:tc>
      </w:tr>
      <w:tr w:rsidR="00003538" w:rsidRPr="00B57B36" w14:paraId="5629AE19" w14:textId="77777777" w:rsidTr="00CD3498">
        <w:tc>
          <w:tcPr>
            <w:tcW w:w="1418" w:type="dxa"/>
            <w:shd w:val="clear" w:color="auto" w:fill="FFFFFF"/>
          </w:tcPr>
          <w:p w14:paraId="3C6246E9" w14:textId="77777777" w:rsidR="00003538" w:rsidRPr="00B57B36" w:rsidRDefault="00003538" w:rsidP="00003538">
            <w:pPr>
              <w:pStyle w:val="CETBodytext"/>
              <w:ind w:right="-1"/>
              <w:rPr>
                <w:rFonts w:cs="Arial"/>
                <w:szCs w:val="18"/>
                <w:lang w:val="en-GB"/>
              </w:rPr>
            </w:pPr>
            <w:r w:rsidRPr="006F47C4">
              <w:rPr>
                <w:rFonts w:cs="Arial"/>
                <w:szCs w:val="18"/>
                <w:lang w:val="en-GB"/>
              </w:rPr>
              <w:t>Methanol</w:t>
            </w:r>
          </w:p>
        </w:tc>
        <w:tc>
          <w:tcPr>
            <w:tcW w:w="1102" w:type="dxa"/>
            <w:shd w:val="clear" w:color="auto" w:fill="FFFFFF"/>
          </w:tcPr>
          <w:p w14:paraId="21471FD4"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CH</w:t>
            </w:r>
            <w:r w:rsidRPr="00F55488">
              <w:rPr>
                <w:rFonts w:ascii="Cambria Math" w:hAnsi="Cambria Math" w:cs="Cambria Math"/>
                <w:szCs w:val="18"/>
                <w:lang w:val="en-GB"/>
              </w:rPr>
              <w:t>₃</w:t>
            </w:r>
            <w:r w:rsidRPr="00F55488">
              <w:rPr>
                <w:rFonts w:cs="Arial"/>
                <w:szCs w:val="18"/>
                <w:lang w:val="en-GB"/>
              </w:rPr>
              <w:t>OH</w:t>
            </w:r>
          </w:p>
        </w:tc>
        <w:tc>
          <w:tcPr>
            <w:tcW w:w="1260" w:type="dxa"/>
            <w:shd w:val="clear" w:color="auto" w:fill="FFFFFF"/>
          </w:tcPr>
          <w:p w14:paraId="409CD0EC" w14:textId="77777777" w:rsidR="00003538" w:rsidRPr="00B57B36" w:rsidRDefault="00003538" w:rsidP="006F5E93">
            <w:pPr>
              <w:pStyle w:val="CETBodytext"/>
              <w:ind w:right="57"/>
              <w:jc w:val="right"/>
              <w:rPr>
                <w:rFonts w:cs="Arial"/>
                <w:szCs w:val="18"/>
                <w:lang w:val="en-GB"/>
              </w:rPr>
            </w:pPr>
            <w:r>
              <w:rPr>
                <w:rFonts w:cs="Arial"/>
                <w:szCs w:val="18"/>
                <w:lang w:val="en-GB"/>
              </w:rPr>
              <w:t>-239.20</w:t>
            </w:r>
          </w:p>
        </w:tc>
        <w:tc>
          <w:tcPr>
            <w:tcW w:w="1323" w:type="dxa"/>
            <w:shd w:val="clear" w:color="auto" w:fill="FFFFFF"/>
          </w:tcPr>
          <w:p w14:paraId="5B07BD75" w14:textId="77777777" w:rsidR="00003538" w:rsidRDefault="00003538" w:rsidP="0041029E">
            <w:pPr>
              <w:pStyle w:val="CETBodytext"/>
              <w:ind w:right="57"/>
              <w:jc w:val="right"/>
              <w:rPr>
                <w:rFonts w:cs="Arial"/>
                <w:szCs w:val="18"/>
                <w:lang w:val="en-GB"/>
              </w:rPr>
            </w:pPr>
            <w:r w:rsidRPr="006F47C4">
              <w:rPr>
                <w:rFonts w:cs="Arial"/>
                <w:szCs w:val="18"/>
                <w:lang w:val="en-GB"/>
              </w:rPr>
              <w:t>0</w:t>
            </w:r>
            <w:r>
              <w:rPr>
                <w:rFonts w:cs="Arial"/>
                <w:szCs w:val="18"/>
                <w:lang w:val="en-GB"/>
              </w:rPr>
              <w:t>.</w:t>
            </w:r>
            <w:r w:rsidRPr="006F47C4">
              <w:rPr>
                <w:rFonts w:cs="Arial"/>
                <w:szCs w:val="18"/>
                <w:lang w:val="en-GB"/>
              </w:rPr>
              <w:t>22</w:t>
            </w:r>
          </w:p>
        </w:tc>
        <w:tc>
          <w:tcPr>
            <w:tcW w:w="1418" w:type="dxa"/>
            <w:shd w:val="clear" w:color="auto" w:fill="FFFFFF"/>
          </w:tcPr>
          <w:p w14:paraId="52FC1588" w14:textId="77777777" w:rsidR="00003538" w:rsidRDefault="00003538" w:rsidP="005F7E89">
            <w:pPr>
              <w:pStyle w:val="CETBodytext"/>
              <w:ind w:right="57"/>
              <w:jc w:val="right"/>
              <w:rPr>
                <w:rFonts w:cs="Arial"/>
                <w:szCs w:val="18"/>
                <w:lang w:val="en-GB"/>
              </w:rPr>
            </w:pPr>
            <w:r>
              <w:rPr>
                <w:rFonts w:cs="Arial"/>
                <w:szCs w:val="18"/>
                <w:lang w:val="en-GB"/>
              </w:rPr>
              <w:t>2023</w:t>
            </w:r>
          </w:p>
        </w:tc>
        <w:tc>
          <w:tcPr>
            <w:tcW w:w="2119" w:type="dxa"/>
            <w:shd w:val="clear" w:color="auto" w:fill="FFFFFF"/>
          </w:tcPr>
          <w:p w14:paraId="2BD2EF0E" w14:textId="77777777" w:rsidR="00003538" w:rsidRDefault="00003538" w:rsidP="00D35F47">
            <w:pPr>
              <w:pStyle w:val="CETBodytext"/>
              <w:ind w:right="-1"/>
              <w:jc w:val="right"/>
              <w:rPr>
                <w:rFonts w:cs="Arial"/>
                <w:szCs w:val="18"/>
                <w:lang w:val="en-GB"/>
              </w:rPr>
            </w:pPr>
            <w:r w:rsidRPr="006F47C4">
              <w:rPr>
                <w:rFonts w:cs="Arial"/>
                <w:szCs w:val="18"/>
                <w:lang w:val="en-GB"/>
              </w:rPr>
              <w:t>Methanex (2025)</w:t>
            </w:r>
          </w:p>
        </w:tc>
      </w:tr>
      <w:tr w:rsidR="00003538" w:rsidRPr="00B57B36" w14:paraId="7D78BF4C" w14:textId="77777777" w:rsidTr="00CD3498">
        <w:tc>
          <w:tcPr>
            <w:tcW w:w="1418" w:type="dxa"/>
            <w:shd w:val="clear" w:color="auto" w:fill="FFFFFF"/>
          </w:tcPr>
          <w:p w14:paraId="1808CFE6" w14:textId="77777777" w:rsidR="00003538" w:rsidRPr="00B57B36" w:rsidRDefault="00003538" w:rsidP="00003538">
            <w:pPr>
              <w:pStyle w:val="CETBodytext"/>
              <w:ind w:right="-1"/>
              <w:rPr>
                <w:rFonts w:cs="Arial"/>
                <w:szCs w:val="18"/>
                <w:lang w:val="en-GB"/>
              </w:rPr>
            </w:pPr>
            <w:r w:rsidRPr="006F47C4">
              <w:rPr>
                <w:rFonts w:cs="Arial"/>
                <w:szCs w:val="18"/>
                <w:lang w:val="en-GB"/>
              </w:rPr>
              <w:t>1,2-propanediol</w:t>
            </w:r>
          </w:p>
        </w:tc>
        <w:tc>
          <w:tcPr>
            <w:tcW w:w="1102" w:type="dxa"/>
            <w:shd w:val="clear" w:color="auto" w:fill="FFFFFF"/>
          </w:tcPr>
          <w:p w14:paraId="251C63BA" w14:textId="641148DE"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cs="Arial"/>
                <w:szCs w:val="18"/>
                <w:vertAlign w:val="subscript"/>
                <w:lang w:val="en-GB"/>
              </w:rPr>
              <w:t>3</w:t>
            </w:r>
            <w:r w:rsidRPr="00F55488">
              <w:rPr>
                <w:rFonts w:cs="Arial"/>
                <w:szCs w:val="18"/>
                <w:lang w:val="en-GB"/>
              </w:rPr>
              <w:t>H</w:t>
            </w:r>
            <w:r w:rsidRPr="00F55488">
              <w:rPr>
                <w:rFonts w:cs="Arial"/>
                <w:szCs w:val="18"/>
                <w:vertAlign w:val="subscript"/>
                <w:lang w:val="en-GB"/>
              </w:rPr>
              <w:t>8</w:t>
            </w:r>
            <w:r w:rsidRPr="00F55488">
              <w:rPr>
                <w:rFonts w:cs="Arial"/>
                <w:szCs w:val="18"/>
                <w:lang w:val="en-GB"/>
              </w:rPr>
              <w:t>O</w:t>
            </w:r>
            <w:r w:rsidR="009F68BF">
              <w:rPr>
                <w:rFonts w:cs="Arial"/>
                <w:szCs w:val="18"/>
                <w:vertAlign w:val="subscript"/>
                <w:lang w:val="en-GB"/>
              </w:rPr>
              <w:t>2</w:t>
            </w:r>
          </w:p>
        </w:tc>
        <w:tc>
          <w:tcPr>
            <w:tcW w:w="1260" w:type="dxa"/>
            <w:shd w:val="clear" w:color="auto" w:fill="FFFFFF"/>
          </w:tcPr>
          <w:p w14:paraId="4D2AA0C0" w14:textId="77777777" w:rsidR="00003538" w:rsidRPr="00B57B36" w:rsidRDefault="00003538" w:rsidP="006F5E93">
            <w:pPr>
              <w:pStyle w:val="CETBodytext"/>
              <w:ind w:right="57"/>
              <w:jc w:val="right"/>
              <w:rPr>
                <w:rFonts w:cs="Arial"/>
                <w:szCs w:val="18"/>
                <w:lang w:val="en-GB"/>
              </w:rPr>
            </w:pPr>
            <w:r>
              <w:rPr>
                <w:rFonts w:cs="Arial"/>
                <w:szCs w:val="18"/>
                <w:lang w:val="en-GB"/>
              </w:rPr>
              <w:t>-421.50</w:t>
            </w:r>
          </w:p>
        </w:tc>
        <w:tc>
          <w:tcPr>
            <w:tcW w:w="1323" w:type="dxa"/>
            <w:shd w:val="clear" w:color="auto" w:fill="FFFFFF"/>
          </w:tcPr>
          <w:p w14:paraId="7765B8D8" w14:textId="77777777" w:rsidR="00003538" w:rsidRDefault="00003538" w:rsidP="0041029E">
            <w:pPr>
              <w:pStyle w:val="CETBodytext"/>
              <w:ind w:right="57"/>
              <w:jc w:val="right"/>
              <w:rPr>
                <w:rFonts w:cs="Arial"/>
                <w:szCs w:val="18"/>
                <w:lang w:val="en-GB"/>
              </w:rPr>
            </w:pPr>
            <w:r w:rsidRPr="006F47C4">
              <w:rPr>
                <w:rFonts w:cs="Arial"/>
                <w:szCs w:val="18"/>
                <w:lang w:val="en-GB"/>
              </w:rPr>
              <w:t>1</w:t>
            </w:r>
            <w:r>
              <w:rPr>
                <w:rFonts w:cs="Arial"/>
                <w:szCs w:val="18"/>
                <w:lang w:val="en-GB"/>
              </w:rPr>
              <w:t>.</w:t>
            </w:r>
            <w:r w:rsidRPr="006F47C4">
              <w:rPr>
                <w:rFonts w:cs="Arial"/>
                <w:szCs w:val="18"/>
                <w:lang w:val="en-GB"/>
              </w:rPr>
              <w:t>52</w:t>
            </w:r>
          </w:p>
        </w:tc>
        <w:tc>
          <w:tcPr>
            <w:tcW w:w="1418" w:type="dxa"/>
            <w:shd w:val="clear" w:color="auto" w:fill="FFFFFF"/>
          </w:tcPr>
          <w:p w14:paraId="1471212B" w14:textId="77777777" w:rsidR="00003538" w:rsidRDefault="00003538" w:rsidP="005F7E89">
            <w:pPr>
              <w:pStyle w:val="CETBodytext"/>
              <w:ind w:right="57"/>
              <w:jc w:val="right"/>
              <w:rPr>
                <w:rFonts w:cs="Arial"/>
                <w:szCs w:val="18"/>
                <w:lang w:val="en-GB"/>
              </w:rPr>
            </w:pPr>
            <w:r>
              <w:rPr>
                <w:rFonts w:cs="Arial"/>
                <w:szCs w:val="18"/>
                <w:lang w:val="en-GB"/>
              </w:rPr>
              <w:t>2023</w:t>
            </w:r>
          </w:p>
        </w:tc>
        <w:tc>
          <w:tcPr>
            <w:tcW w:w="2119" w:type="dxa"/>
            <w:shd w:val="clear" w:color="auto" w:fill="FFFFFF"/>
          </w:tcPr>
          <w:p w14:paraId="53123B46" w14:textId="77777777" w:rsidR="00003538" w:rsidRDefault="00003538" w:rsidP="00D35F47">
            <w:pPr>
              <w:pStyle w:val="CETBodytext"/>
              <w:ind w:right="-1"/>
              <w:jc w:val="right"/>
              <w:rPr>
                <w:rFonts w:cs="Arial"/>
                <w:szCs w:val="18"/>
                <w:lang w:val="en-GB"/>
              </w:rPr>
            </w:pPr>
            <w:r w:rsidRPr="006F47C4">
              <w:rPr>
                <w:rFonts w:cs="Arial"/>
                <w:szCs w:val="18"/>
                <w:lang w:val="en-GB"/>
              </w:rPr>
              <w:t>Imarc (2025</w:t>
            </w:r>
            <w:r w:rsidR="00A86FC0">
              <w:rPr>
                <w:rFonts w:cs="Arial"/>
                <w:szCs w:val="18"/>
                <w:lang w:val="en-GB"/>
              </w:rPr>
              <w:t>b</w:t>
            </w:r>
            <w:r w:rsidRPr="006F47C4">
              <w:rPr>
                <w:rFonts w:cs="Arial"/>
                <w:szCs w:val="18"/>
                <w:lang w:val="en-GB"/>
              </w:rPr>
              <w:t>)</w:t>
            </w:r>
          </w:p>
        </w:tc>
      </w:tr>
      <w:tr w:rsidR="00003538" w:rsidRPr="00B57B36" w14:paraId="1D3C2D20" w14:textId="77777777" w:rsidTr="00CD3498">
        <w:tc>
          <w:tcPr>
            <w:tcW w:w="1418" w:type="dxa"/>
            <w:shd w:val="clear" w:color="auto" w:fill="FFFFFF"/>
          </w:tcPr>
          <w:p w14:paraId="1C4FC2C5" w14:textId="77777777" w:rsidR="00003538" w:rsidRPr="00B57B36" w:rsidRDefault="00003538" w:rsidP="00003538">
            <w:pPr>
              <w:pStyle w:val="CETBodytext"/>
              <w:ind w:right="-1"/>
              <w:rPr>
                <w:rFonts w:cs="Arial"/>
                <w:szCs w:val="18"/>
                <w:lang w:val="en-GB"/>
              </w:rPr>
            </w:pPr>
            <w:r w:rsidRPr="006F47C4">
              <w:rPr>
                <w:rFonts w:cs="Arial"/>
                <w:szCs w:val="18"/>
                <w:lang w:val="en-GB"/>
              </w:rPr>
              <w:t>Acetone</w:t>
            </w:r>
          </w:p>
        </w:tc>
        <w:tc>
          <w:tcPr>
            <w:tcW w:w="1102" w:type="dxa"/>
            <w:shd w:val="clear" w:color="auto" w:fill="FFFFFF"/>
          </w:tcPr>
          <w:p w14:paraId="3AEFB24B"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ascii="Cambria Math" w:hAnsi="Cambria Math" w:cs="Cambria Math"/>
                <w:szCs w:val="18"/>
                <w:lang w:val="en-GB"/>
              </w:rPr>
              <w:t>₃</w:t>
            </w:r>
            <w:r w:rsidRPr="00F55488">
              <w:rPr>
                <w:rFonts w:cs="Arial"/>
                <w:szCs w:val="18"/>
                <w:lang w:val="en-GB"/>
              </w:rPr>
              <w:t>H</w:t>
            </w:r>
            <w:r w:rsidRPr="00F55488">
              <w:rPr>
                <w:rFonts w:ascii="Cambria Math" w:hAnsi="Cambria Math" w:cs="Cambria Math"/>
                <w:szCs w:val="18"/>
                <w:lang w:val="en-GB"/>
              </w:rPr>
              <w:t>₆</w:t>
            </w:r>
            <w:r w:rsidRPr="00F55488">
              <w:rPr>
                <w:rFonts w:cs="Arial"/>
                <w:szCs w:val="18"/>
                <w:lang w:val="en-GB"/>
              </w:rPr>
              <w:t>O</w:t>
            </w:r>
          </w:p>
        </w:tc>
        <w:tc>
          <w:tcPr>
            <w:tcW w:w="1260" w:type="dxa"/>
            <w:shd w:val="clear" w:color="auto" w:fill="FFFFFF"/>
          </w:tcPr>
          <w:p w14:paraId="1897BFF7" w14:textId="77777777" w:rsidR="00003538" w:rsidRPr="00B57B36" w:rsidRDefault="00003538" w:rsidP="006F5E93">
            <w:pPr>
              <w:pStyle w:val="CETBodytext"/>
              <w:ind w:right="57"/>
              <w:jc w:val="right"/>
              <w:rPr>
                <w:rFonts w:cs="Arial"/>
                <w:szCs w:val="18"/>
                <w:lang w:val="en-GB"/>
              </w:rPr>
            </w:pPr>
            <w:r>
              <w:rPr>
                <w:rFonts w:cs="Arial"/>
                <w:szCs w:val="18"/>
                <w:lang w:val="en-GB"/>
              </w:rPr>
              <w:t>-248.40</w:t>
            </w:r>
          </w:p>
        </w:tc>
        <w:tc>
          <w:tcPr>
            <w:tcW w:w="1323" w:type="dxa"/>
            <w:shd w:val="clear" w:color="auto" w:fill="FFFFFF"/>
          </w:tcPr>
          <w:p w14:paraId="10AC1C9B" w14:textId="77777777" w:rsidR="00003538" w:rsidRDefault="00003538" w:rsidP="0041029E">
            <w:pPr>
              <w:pStyle w:val="CETBodytext"/>
              <w:ind w:right="57"/>
              <w:jc w:val="right"/>
              <w:rPr>
                <w:rFonts w:cs="Arial"/>
                <w:szCs w:val="18"/>
                <w:lang w:val="en-GB"/>
              </w:rPr>
            </w:pPr>
            <w:r w:rsidRPr="006F47C4">
              <w:rPr>
                <w:rFonts w:cs="Arial"/>
                <w:szCs w:val="18"/>
                <w:lang w:val="en-GB"/>
              </w:rPr>
              <w:t>1</w:t>
            </w:r>
            <w:r>
              <w:rPr>
                <w:rFonts w:cs="Arial"/>
                <w:szCs w:val="18"/>
                <w:lang w:val="en-GB"/>
              </w:rPr>
              <w:t>.</w:t>
            </w:r>
            <w:r w:rsidRPr="006F47C4">
              <w:rPr>
                <w:rFonts w:cs="Arial"/>
                <w:szCs w:val="18"/>
                <w:lang w:val="en-GB"/>
              </w:rPr>
              <w:t>22</w:t>
            </w:r>
          </w:p>
        </w:tc>
        <w:tc>
          <w:tcPr>
            <w:tcW w:w="1418" w:type="dxa"/>
            <w:shd w:val="clear" w:color="auto" w:fill="FFFFFF"/>
          </w:tcPr>
          <w:p w14:paraId="35D230CA" w14:textId="77777777" w:rsidR="00003538" w:rsidRDefault="00003538" w:rsidP="005F7E89">
            <w:pPr>
              <w:pStyle w:val="CETBodytext"/>
              <w:ind w:right="57"/>
              <w:jc w:val="right"/>
              <w:rPr>
                <w:rFonts w:cs="Arial"/>
                <w:szCs w:val="18"/>
                <w:lang w:val="en-GB"/>
              </w:rPr>
            </w:pPr>
            <w:r>
              <w:rPr>
                <w:rFonts w:cs="Arial"/>
                <w:szCs w:val="18"/>
                <w:lang w:val="en-GB"/>
              </w:rPr>
              <w:t>2024</w:t>
            </w:r>
          </w:p>
        </w:tc>
        <w:tc>
          <w:tcPr>
            <w:tcW w:w="2119" w:type="dxa"/>
            <w:shd w:val="clear" w:color="auto" w:fill="FFFFFF"/>
          </w:tcPr>
          <w:p w14:paraId="5BA67DFD" w14:textId="77777777" w:rsidR="00003538" w:rsidRDefault="00003538" w:rsidP="00D35F47">
            <w:pPr>
              <w:pStyle w:val="CETBodytext"/>
              <w:ind w:right="-1"/>
              <w:jc w:val="right"/>
              <w:rPr>
                <w:rFonts w:cs="Arial"/>
                <w:szCs w:val="18"/>
                <w:lang w:val="en-GB"/>
              </w:rPr>
            </w:pPr>
            <w:r w:rsidRPr="006F47C4">
              <w:rPr>
                <w:rFonts w:cs="Arial"/>
                <w:szCs w:val="18"/>
                <w:lang w:val="en-GB"/>
              </w:rPr>
              <w:t>Imarc (2025</w:t>
            </w:r>
            <w:r w:rsidR="00A86FC0">
              <w:rPr>
                <w:rFonts w:cs="Arial"/>
                <w:szCs w:val="18"/>
                <w:lang w:val="en-GB"/>
              </w:rPr>
              <w:t>c</w:t>
            </w:r>
            <w:r w:rsidRPr="006F47C4">
              <w:rPr>
                <w:rFonts w:cs="Arial"/>
                <w:szCs w:val="18"/>
                <w:lang w:val="en-GB"/>
              </w:rPr>
              <w:t>)</w:t>
            </w:r>
          </w:p>
        </w:tc>
      </w:tr>
      <w:tr w:rsidR="00003538" w:rsidRPr="00B57B36" w14:paraId="276E7635" w14:textId="77777777" w:rsidTr="00CD3498">
        <w:tc>
          <w:tcPr>
            <w:tcW w:w="1418" w:type="dxa"/>
            <w:shd w:val="clear" w:color="auto" w:fill="FFFFFF"/>
          </w:tcPr>
          <w:p w14:paraId="289BF2C7" w14:textId="77777777" w:rsidR="00003538" w:rsidRPr="00B57B36" w:rsidRDefault="00003538" w:rsidP="00003538">
            <w:pPr>
              <w:pStyle w:val="CETBodytext"/>
              <w:ind w:right="-1"/>
              <w:rPr>
                <w:rFonts w:cs="Arial"/>
                <w:szCs w:val="18"/>
                <w:lang w:val="en-GB"/>
              </w:rPr>
            </w:pPr>
            <w:r w:rsidRPr="006F47C4">
              <w:rPr>
                <w:rFonts w:cs="Arial"/>
                <w:szCs w:val="18"/>
                <w:lang w:val="en-GB"/>
              </w:rPr>
              <w:t>1-propanol</w:t>
            </w:r>
          </w:p>
        </w:tc>
        <w:tc>
          <w:tcPr>
            <w:tcW w:w="1102" w:type="dxa"/>
            <w:shd w:val="clear" w:color="auto" w:fill="FFFFFF"/>
          </w:tcPr>
          <w:p w14:paraId="01BD8115"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cs="Arial"/>
                <w:szCs w:val="18"/>
                <w:vertAlign w:val="subscript"/>
                <w:lang w:val="en-GB"/>
              </w:rPr>
              <w:t>3</w:t>
            </w:r>
            <w:r w:rsidRPr="00F55488">
              <w:rPr>
                <w:rFonts w:cs="Arial"/>
                <w:szCs w:val="18"/>
                <w:lang w:val="en-GB"/>
              </w:rPr>
              <w:t>H</w:t>
            </w:r>
            <w:r w:rsidRPr="00F55488">
              <w:rPr>
                <w:rFonts w:cs="Arial"/>
                <w:szCs w:val="18"/>
                <w:vertAlign w:val="subscript"/>
                <w:lang w:val="en-GB"/>
              </w:rPr>
              <w:t>8</w:t>
            </w:r>
            <w:r w:rsidRPr="00F55488">
              <w:rPr>
                <w:rFonts w:cs="Arial"/>
                <w:szCs w:val="18"/>
                <w:lang w:val="en-GB"/>
              </w:rPr>
              <w:t>O</w:t>
            </w:r>
          </w:p>
        </w:tc>
        <w:tc>
          <w:tcPr>
            <w:tcW w:w="1260" w:type="dxa"/>
            <w:shd w:val="clear" w:color="auto" w:fill="FFFFFF"/>
          </w:tcPr>
          <w:p w14:paraId="5E0DAC5D" w14:textId="77777777" w:rsidR="00003538" w:rsidRPr="00B57B36" w:rsidRDefault="00003538" w:rsidP="006F5E93">
            <w:pPr>
              <w:pStyle w:val="CETBodytext"/>
              <w:ind w:right="57"/>
              <w:jc w:val="right"/>
              <w:rPr>
                <w:rFonts w:cs="Arial"/>
                <w:szCs w:val="18"/>
                <w:lang w:val="en-GB"/>
              </w:rPr>
            </w:pPr>
            <w:r>
              <w:rPr>
                <w:rFonts w:cs="Arial"/>
                <w:szCs w:val="18"/>
                <w:lang w:val="en-GB"/>
              </w:rPr>
              <w:t>-302.60</w:t>
            </w:r>
          </w:p>
        </w:tc>
        <w:tc>
          <w:tcPr>
            <w:tcW w:w="1323" w:type="dxa"/>
            <w:shd w:val="clear" w:color="auto" w:fill="FFFFFF"/>
          </w:tcPr>
          <w:p w14:paraId="4D9A4C4B" w14:textId="77777777" w:rsidR="00003538" w:rsidRDefault="00003538" w:rsidP="0041029E">
            <w:pPr>
              <w:pStyle w:val="CETBodytext"/>
              <w:ind w:right="57"/>
              <w:jc w:val="right"/>
              <w:rPr>
                <w:rFonts w:cs="Arial"/>
                <w:szCs w:val="18"/>
                <w:lang w:val="en-GB"/>
              </w:rPr>
            </w:pPr>
            <w:r w:rsidRPr="006F47C4">
              <w:rPr>
                <w:rFonts w:cs="Arial"/>
                <w:szCs w:val="18"/>
                <w:lang w:val="en-GB"/>
              </w:rPr>
              <w:t>1</w:t>
            </w:r>
            <w:r>
              <w:rPr>
                <w:rFonts w:cs="Arial"/>
                <w:szCs w:val="18"/>
                <w:lang w:val="en-GB"/>
              </w:rPr>
              <w:t>.</w:t>
            </w:r>
            <w:r w:rsidRPr="006F47C4">
              <w:rPr>
                <w:rFonts w:cs="Arial"/>
                <w:szCs w:val="18"/>
                <w:lang w:val="en-GB"/>
              </w:rPr>
              <w:t>3</w:t>
            </w:r>
          </w:p>
        </w:tc>
        <w:tc>
          <w:tcPr>
            <w:tcW w:w="1418" w:type="dxa"/>
            <w:shd w:val="clear" w:color="auto" w:fill="FFFFFF"/>
          </w:tcPr>
          <w:p w14:paraId="336DC84A" w14:textId="77777777" w:rsidR="00003538" w:rsidRDefault="00003538" w:rsidP="005F7E89">
            <w:pPr>
              <w:pStyle w:val="CETBodytext"/>
              <w:ind w:right="57"/>
              <w:jc w:val="right"/>
              <w:rPr>
                <w:rFonts w:cs="Arial"/>
                <w:szCs w:val="18"/>
                <w:lang w:val="en-GB"/>
              </w:rPr>
            </w:pPr>
            <w:r>
              <w:rPr>
                <w:rFonts w:cs="Arial"/>
                <w:szCs w:val="18"/>
                <w:lang w:val="en-GB"/>
              </w:rPr>
              <w:t>2024</w:t>
            </w:r>
          </w:p>
        </w:tc>
        <w:tc>
          <w:tcPr>
            <w:tcW w:w="2119" w:type="dxa"/>
            <w:shd w:val="clear" w:color="auto" w:fill="FFFFFF"/>
          </w:tcPr>
          <w:p w14:paraId="15A9A011" w14:textId="77777777" w:rsidR="00003538" w:rsidRDefault="00003538" w:rsidP="00D35F47">
            <w:pPr>
              <w:pStyle w:val="CETBodytext"/>
              <w:ind w:right="-1"/>
              <w:jc w:val="right"/>
              <w:rPr>
                <w:rFonts w:cs="Arial"/>
                <w:szCs w:val="18"/>
                <w:lang w:val="en-GB"/>
              </w:rPr>
            </w:pPr>
            <w:r w:rsidRPr="006F47C4">
              <w:rPr>
                <w:rFonts w:cs="Arial"/>
                <w:szCs w:val="18"/>
                <w:lang w:val="en-GB"/>
              </w:rPr>
              <w:t>Echemi (2025)</w:t>
            </w:r>
          </w:p>
        </w:tc>
      </w:tr>
      <w:tr w:rsidR="00003538" w:rsidRPr="00B57B36" w14:paraId="7973C0E7" w14:textId="77777777" w:rsidTr="00CD3498">
        <w:tc>
          <w:tcPr>
            <w:tcW w:w="1418" w:type="dxa"/>
            <w:shd w:val="clear" w:color="auto" w:fill="FFFFFF"/>
          </w:tcPr>
          <w:p w14:paraId="53B99469" w14:textId="77777777" w:rsidR="00003538" w:rsidRPr="00B57B36" w:rsidRDefault="00003538" w:rsidP="00003538">
            <w:pPr>
              <w:pStyle w:val="CETBodytext"/>
              <w:ind w:right="-1"/>
              <w:jc w:val="left"/>
              <w:rPr>
                <w:rFonts w:cs="Arial"/>
                <w:szCs w:val="18"/>
                <w:lang w:val="en-GB"/>
              </w:rPr>
            </w:pPr>
            <w:r w:rsidRPr="006F47C4">
              <w:rPr>
                <w:rFonts w:cs="Arial"/>
                <w:szCs w:val="18"/>
                <w:lang w:val="en-GB"/>
              </w:rPr>
              <w:t>2-propanol</w:t>
            </w:r>
          </w:p>
        </w:tc>
        <w:tc>
          <w:tcPr>
            <w:tcW w:w="1102" w:type="dxa"/>
            <w:shd w:val="clear" w:color="auto" w:fill="FFFFFF"/>
          </w:tcPr>
          <w:p w14:paraId="117F7316" w14:textId="77777777" w:rsidR="00003538" w:rsidRPr="00F55488" w:rsidRDefault="00003538" w:rsidP="00003538">
            <w:pPr>
              <w:tabs>
                <w:tab w:val="clear" w:pos="7100"/>
              </w:tabs>
              <w:spacing w:line="240" w:lineRule="auto"/>
              <w:jc w:val="left"/>
              <w:rPr>
                <w:color w:val="000000"/>
              </w:rPr>
            </w:pPr>
            <w:r>
              <w:rPr>
                <w:color w:val="000000"/>
              </w:rPr>
              <w:t>C</w:t>
            </w:r>
            <w:r w:rsidRPr="00F55488">
              <w:rPr>
                <w:color w:val="000000"/>
                <w:vertAlign w:val="subscript"/>
              </w:rPr>
              <w:t>3</w:t>
            </w:r>
            <w:r>
              <w:rPr>
                <w:color w:val="000000"/>
              </w:rPr>
              <w:t>H</w:t>
            </w:r>
            <w:r w:rsidRPr="00F55488">
              <w:rPr>
                <w:color w:val="000000"/>
                <w:vertAlign w:val="subscript"/>
              </w:rPr>
              <w:t>8</w:t>
            </w:r>
            <w:r>
              <w:rPr>
                <w:color w:val="000000"/>
              </w:rPr>
              <w:t>O</w:t>
            </w:r>
          </w:p>
        </w:tc>
        <w:tc>
          <w:tcPr>
            <w:tcW w:w="1260" w:type="dxa"/>
            <w:shd w:val="clear" w:color="auto" w:fill="FFFFFF"/>
          </w:tcPr>
          <w:p w14:paraId="616EDEE5" w14:textId="77777777" w:rsidR="00003538" w:rsidRPr="00B57B36" w:rsidRDefault="00003538" w:rsidP="006F5E93">
            <w:pPr>
              <w:pStyle w:val="CETBodytext"/>
              <w:ind w:right="57"/>
              <w:jc w:val="right"/>
              <w:rPr>
                <w:rFonts w:cs="Arial"/>
                <w:szCs w:val="18"/>
                <w:lang w:val="en-GB"/>
              </w:rPr>
            </w:pPr>
            <w:r>
              <w:rPr>
                <w:rFonts w:cs="Arial"/>
                <w:szCs w:val="18"/>
                <w:lang w:val="en-GB"/>
              </w:rPr>
              <w:t>-272.10</w:t>
            </w:r>
          </w:p>
        </w:tc>
        <w:tc>
          <w:tcPr>
            <w:tcW w:w="1323" w:type="dxa"/>
            <w:shd w:val="clear" w:color="auto" w:fill="FFFFFF"/>
          </w:tcPr>
          <w:p w14:paraId="7569D11A" w14:textId="77777777" w:rsidR="00003538" w:rsidRDefault="00003538" w:rsidP="0041029E">
            <w:pPr>
              <w:pStyle w:val="CETBodytext"/>
              <w:ind w:right="57"/>
              <w:jc w:val="right"/>
              <w:rPr>
                <w:rFonts w:cs="Arial"/>
                <w:szCs w:val="18"/>
                <w:lang w:val="en-GB"/>
              </w:rPr>
            </w:pPr>
            <w:r w:rsidRPr="006F47C4">
              <w:rPr>
                <w:rFonts w:cs="Arial"/>
                <w:szCs w:val="18"/>
                <w:lang w:val="en-GB"/>
              </w:rPr>
              <w:t>1</w:t>
            </w:r>
            <w:r>
              <w:rPr>
                <w:rFonts w:cs="Arial"/>
                <w:szCs w:val="18"/>
                <w:lang w:val="en-GB"/>
              </w:rPr>
              <w:t>.</w:t>
            </w:r>
            <w:r w:rsidRPr="006F47C4">
              <w:rPr>
                <w:rFonts w:cs="Arial"/>
                <w:szCs w:val="18"/>
                <w:lang w:val="en-GB"/>
              </w:rPr>
              <w:t>2</w:t>
            </w:r>
            <w:r>
              <w:rPr>
                <w:rFonts w:cs="Arial"/>
                <w:szCs w:val="18"/>
                <w:lang w:val="en-GB"/>
              </w:rPr>
              <w:t>8</w:t>
            </w:r>
          </w:p>
        </w:tc>
        <w:tc>
          <w:tcPr>
            <w:tcW w:w="1418" w:type="dxa"/>
            <w:shd w:val="clear" w:color="auto" w:fill="FFFFFF"/>
          </w:tcPr>
          <w:p w14:paraId="7787D172" w14:textId="77777777" w:rsidR="00003538" w:rsidRDefault="00003538" w:rsidP="005F7E89">
            <w:pPr>
              <w:pStyle w:val="CETBodytext"/>
              <w:ind w:right="57"/>
              <w:jc w:val="right"/>
              <w:rPr>
                <w:rFonts w:cs="Arial"/>
                <w:szCs w:val="18"/>
                <w:lang w:val="en-GB"/>
              </w:rPr>
            </w:pPr>
            <w:r>
              <w:rPr>
                <w:rFonts w:cs="Arial"/>
                <w:szCs w:val="18"/>
                <w:lang w:val="en-GB"/>
              </w:rPr>
              <w:t>2024</w:t>
            </w:r>
          </w:p>
        </w:tc>
        <w:tc>
          <w:tcPr>
            <w:tcW w:w="2119" w:type="dxa"/>
            <w:shd w:val="clear" w:color="auto" w:fill="FFFFFF"/>
          </w:tcPr>
          <w:p w14:paraId="307AFE1F" w14:textId="77777777" w:rsidR="00003538" w:rsidRDefault="00003538" w:rsidP="00D35F47">
            <w:pPr>
              <w:pStyle w:val="CETBodytext"/>
              <w:ind w:right="-1"/>
              <w:jc w:val="right"/>
              <w:rPr>
                <w:rFonts w:cs="Arial"/>
                <w:szCs w:val="18"/>
                <w:lang w:val="en-GB"/>
              </w:rPr>
            </w:pPr>
            <w:r w:rsidRPr="006F47C4">
              <w:rPr>
                <w:rFonts w:cs="Arial"/>
                <w:szCs w:val="18"/>
                <w:lang w:val="en-GB"/>
              </w:rPr>
              <w:t>Imarc (2025</w:t>
            </w:r>
            <w:r w:rsidR="00A86FC0">
              <w:rPr>
                <w:rFonts w:cs="Arial"/>
                <w:szCs w:val="18"/>
                <w:lang w:val="en-GB"/>
              </w:rPr>
              <w:t>d</w:t>
            </w:r>
            <w:r w:rsidRPr="006F47C4">
              <w:rPr>
                <w:rFonts w:cs="Arial"/>
                <w:szCs w:val="18"/>
                <w:lang w:val="en-GB"/>
              </w:rPr>
              <w:t>)</w:t>
            </w:r>
          </w:p>
        </w:tc>
      </w:tr>
      <w:tr w:rsidR="00003538" w:rsidRPr="00B57B36" w14:paraId="66A110A8" w14:textId="77777777" w:rsidTr="00CD3498">
        <w:tc>
          <w:tcPr>
            <w:tcW w:w="1418" w:type="dxa"/>
            <w:shd w:val="clear" w:color="auto" w:fill="FFFFFF"/>
          </w:tcPr>
          <w:p w14:paraId="68BC4F5B" w14:textId="77777777" w:rsidR="00003538" w:rsidRPr="00B57B36" w:rsidRDefault="00003538" w:rsidP="00003538">
            <w:pPr>
              <w:pStyle w:val="CETBodytext"/>
              <w:ind w:right="-1"/>
              <w:jc w:val="left"/>
              <w:rPr>
                <w:rFonts w:cs="Arial"/>
                <w:szCs w:val="18"/>
                <w:lang w:val="en-GB"/>
              </w:rPr>
            </w:pPr>
            <w:r w:rsidRPr="006F47C4">
              <w:rPr>
                <w:rFonts w:cs="Arial"/>
                <w:szCs w:val="18"/>
                <w:lang w:val="en-GB"/>
              </w:rPr>
              <w:t>Propylene</w:t>
            </w:r>
          </w:p>
        </w:tc>
        <w:tc>
          <w:tcPr>
            <w:tcW w:w="1102" w:type="dxa"/>
            <w:shd w:val="clear" w:color="auto" w:fill="FFFFFF"/>
          </w:tcPr>
          <w:p w14:paraId="1B3D5690"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cs="Arial"/>
                <w:szCs w:val="18"/>
                <w:vertAlign w:val="subscript"/>
                <w:lang w:val="en-GB"/>
              </w:rPr>
              <w:t>3</w:t>
            </w:r>
            <w:r w:rsidRPr="00F55488">
              <w:rPr>
                <w:rFonts w:cs="Arial"/>
                <w:szCs w:val="18"/>
                <w:lang w:val="en-GB"/>
              </w:rPr>
              <w:t>H</w:t>
            </w:r>
            <w:r w:rsidRPr="00F55488">
              <w:rPr>
                <w:rFonts w:cs="Arial"/>
                <w:szCs w:val="18"/>
                <w:vertAlign w:val="subscript"/>
                <w:lang w:val="en-GB"/>
              </w:rPr>
              <w:t>6</w:t>
            </w:r>
          </w:p>
        </w:tc>
        <w:tc>
          <w:tcPr>
            <w:tcW w:w="1260" w:type="dxa"/>
            <w:shd w:val="clear" w:color="auto" w:fill="FFFFFF"/>
          </w:tcPr>
          <w:p w14:paraId="1B2E997F" w14:textId="77777777" w:rsidR="00003538" w:rsidRPr="00B57B36" w:rsidRDefault="00003538" w:rsidP="006F5E93">
            <w:pPr>
              <w:pStyle w:val="CETBodytext"/>
              <w:ind w:right="57"/>
              <w:jc w:val="right"/>
              <w:rPr>
                <w:rFonts w:cs="Arial"/>
                <w:szCs w:val="18"/>
                <w:lang w:val="en-GB"/>
              </w:rPr>
            </w:pPr>
            <w:r>
              <w:rPr>
                <w:rFonts w:cs="Arial"/>
                <w:szCs w:val="18"/>
                <w:lang w:val="en-GB"/>
              </w:rPr>
              <w:t>20.23</w:t>
            </w:r>
          </w:p>
        </w:tc>
        <w:tc>
          <w:tcPr>
            <w:tcW w:w="1323" w:type="dxa"/>
            <w:shd w:val="clear" w:color="auto" w:fill="FFFFFF"/>
          </w:tcPr>
          <w:p w14:paraId="65C3660A" w14:textId="77777777" w:rsidR="00003538" w:rsidRDefault="00003538" w:rsidP="0041029E">
            <w:pPr>
              <w:pStyle w:val="CETBodytext"/>
              <w:ind w:right="57"/>
              <w:jc w:val="right"/>
              <w:rPr>
                <w:rFonts w:cs="Arial"/>
                <w:szCs w:val="18"/>
                <w:lang w:val="en-GB"/>
              </w:rPr>
            </w:pPr>
            <w:r w:rsidRPr="006F47C4">
              <w:rPr>
                <w:rFonts w:cs="Arial"/>
                <w:szCs w:val="18"/>
                <w:lang w:val="en-GB"/>
              </w:rPr>
              <w:t>0</w:t>
            </w:r>
            <w:r>
              <w:rPr>
                <w:rFonts w:cs="Arial"/>
                <w:szCs w:val="18"/>
                <w:lang w:val="en-GB"/>
              </w:rPr>
              <w:t>.</w:t>
            </w:r>
            <w:r w:rsidRPr="006F47C4">
              <w:rPr>
                <w:rFonts w:cs="Arial"/>
                <w:szCs w:val="18"/>
                <w:lang w:val="en-GB"/>
              </w:rPr>
              <w:t>8</w:t>
            </w:r>
            <w:r>
              <w:rPr>
                <w:rFonts w:cs="Arial"/>
                <w:szCs w:val="18"/>
                <w:lang w:val="en-GB"/>
              </w:rPr>
              <w:t>7</w:t>
            </w:r>
          </w:p>
        </w:tc>
        <w:tc>
          <w:tcPr>
            <w:tcW w:w="1418" w:type="dxa"/>
            <w:shd w:val="clear" w:color="auto" w:fill="FFFFFF"/>
          </w:tcPr>
          <w:p w14:paraId="142E83B9" w14:textId="77777777" w:rsidR="00003538" w:rsidRDefault="00003538" w:rsidP="005F7E89">
            <w:pPr>
              <w:pStyle w:val="CETBodytext"/>
              <w:ind w:right="57"/>
              <w:jc w:val="right"/>
              <w:rPr>
                <w:rFonts w:cs="Arial"/>
                <w:szCs w:val="18"/>
                <w:lang w:val="en-GB"/>
              </w:rPr>
            </w:pPr>
            <w:r>
              <w:rPr>
                <w:rFonts w:cs="Arial"/>
                <w:szCs w:val="18"/>
                <w:lang w:val="en-GB"/>
              </w:rPr>
              <w:t>2022</w:t>
            </w:r>
          </w:p>
        </w:tc>
        <w:tc>
          <w:tcPr>
            <w:tcW w:w="2119" w:type="dxa"/>
            <w:shd w:val="clear" w:color="auto" w:fill="FFFFFF"/>
          </w:tcPr>
          <w:p w14:paraId="57800DDF" w14:textId="77777777" w:rsidR="00003538" w:rsidRDefault="00003538" w:rsidP="00D35F47">
            <w:pPr>
              <w:pStyle w:val="CETBodytext"/>
              <w:ind w:right="-1"/>
              <w:jc w:val="right"/>
              <w:rPr>
                <w:rFonts w:cs="Arial"/>
                <w:szCs w:val="18"/>
                <w:lang w:val="en-GB"/>
              </w:rPr>
            </w:pPr>
            <w:r w:rsidRPr="006F47C4">
              <w:rPr>
                <w:rFonts w:cs="Arial"/>
                <w:szCs w:val="18"/>
                <w:lang w:val="en-GB"/>
              </w:rPr>
              <w:t>Statista (2025</w:t>
            </w:r>
            <w:r w:rsidR="00A86FC0">
              <w:rPr>
                <w:rFonts w:cs="Arial"/>
                <w:szCs w:val="18"/>
                <w:lang w:val="en-GB"/>
              </w:rPr>
              <w:t>a</w:t>
            </w:r>
            <w:r w:rsidRPr="006F47C4">
              <w:rPr>
                <w:rFonts w:cs="Arial"/>
                <w:szCs w:val="18"/>
                <w:lang w:val="en-GB"/>
              </w:rPr>
              <w:t>)</w:t>
            </w:r>
          </w:p>
        </w:tc>
      </w:tr>
      <w:tr w:rsidR="00003538" w:rsidRPr="00B57B36" w14:paraId="62D9D1FC" w14:textId="77777777" w:rsidTr="00CD3498">
        <w:tc>
          <w:tcPr>
            <w:tcW w:w="1418" w:type="dxa"/>
            <w:shd w:val="clear" w:color="auto" w:fill="FFFFFF"/>
          </w:tcPr>
          <w:p w14:paraId="4C08E568" w14:textId="77777777" w:rsidR="00003538" w:rsidRPr="00B57B36" w:rsidRDefault="00003538" w:rsidP="00003538">
            <w:pPr>
              <w:pStyle w:val="CETBodytext"/>
              <w:ind w:right="-1"/>
              <w:jc w:val="left"/>
              <w:rPr>
                <w:rFonts w:cs="Arial"/>
                <w:szCs w:val="18"/>
                <w:lang w:val="en-GB"/>
              </w:rPr>
            </w:pPr>
            <w:r w:rsidRPr="006F47C4">
              <w:rPr>
                <w:rFonts w:cs="Arial"/>
                <w:szCs w:val="18"/>
                <w:lang w:val="en-GB"/>
              </w:rPr>
              <w:t>Propane</w:t>
            </w:r>
          </w:p>
        </w:tc>
        <w:tc>
          <w:tcPr>
            <w:tcW w:w="1102" w:type="dxa"/>
            <w:shd w:val="clear" w:color="auto" w:fill="FFFFFF"/>
          </w:tcPr>
          <w:p w14:paraId="0C55A199"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cs="Arial"/>
                <w:szCs w:val="18"/>
                <w:vertAlign w:val="subscript"/>
                <w:lang w:val="en-GB"/>
              </w:rPr>
              <w:t>3</w:t>
            </w:r>
            <w:r w:rsidRPr="00F55488">
              <w:rPr>
                <w:rFonts w:cs="Arial"/>
                <w:szCs w:val="18"/>
                <w:lang w:val="en-GB"/>
              </w:rPr>
              <w:t>H</w:t>
            </w:r>
            <w:r w:rsidRPr="00F55488">
              <w:rPr>
                <w:rFonts w:cs="Arial"/>
                <w:szCs w:val="18"/>
                <w:vertAlign w:val="subscript"/>
                <w:lang w:val="en-GB"/>
              </w:rPr>
              <w:t>8</w:t>
            </w:r>
          </w:p>
        </w:tc>
        <w:tc>
          <w:tcPr>
            <w:tcW w:w="1260" w:type="dxa"/>
            <w:shd w:val="clear" w:color="auto" w:fill="FFFFFF"/>
          </w:tcPr>
          <w:p w14:paraId="4C2523C0" w14:textId="77777777" w:rsidR="00003538" w:rsidRPr="00B57B36" w:rsidRDefault="00003538" w:rsidP="006F5E93">
            <w:pPr>
              <w:pStyle w:val="CETBodytext"/>
              <w:ind w:right="57"/>
              <w:jc w:val="right"/>
              <w:rPr>
                <w:rFonts w:cs="Arial"/>
                <w:szCs w:val="18"/>
                <w:lang w:val="en-GB"/>
              </w:rPr>
            </w:pPr>
            <w:r>
              <w:rPr>
                <w:rFonts w:cs="Arial"/>
                <w:szCs w:val="18"/>
                <w:lang w:val="en-GB"/>
              </w:rPr>
              <w:t>-103.80</w:t>
            </w:r>
          </w:p>
        </w:tc>
        <w:tc>
          <w:tcPr>
            <w:tcW w:w="1323" w:type="dxa"/>
            <w:shd w:val="clear" w:color="auto" w:fill="FFFFFF"/>
          </w:tcPr>
          <w:p w14:paraId="47D96D4B" w14:textId="77777777" w:rsidR="00003538" w:rsidRDefault="00003538" w:rsidP="0041029E">
            <w:pPr>
              <w:pStyle w:val="CETBodytext"/>
              <w:ind w:right="57"/>
              <w:jc w:val="right"/>
              <w:rPr>
                <w:rFonts w:cs="Arial"/>
                <w:szCs w:val="18"/>
                <w:lang w:val="en-GB"/>
              </w:rPr>
            </w:pPr>
            <w:r w:rsidRPr="006F47C4">
              <w:rPr>
                <w:rFonts w:cs="Arial"/>
                <w:szCs w:val="18"/>
                <w:lang w:val="en-GB"/>
              </w:rPr>
              <w:t>0</w:t>
            </w:r>
            <w:r>
              <w:rPr>
                <w:rFonts w:cs="Arial"/>
                <w:szCs w:val="18"/>
                <w:lang w:val="en-GB"/>
              </w:rPr>
              <w:t>.</w:t>
            </w:r>
            <w:r w:rsidRPr="006F47C4">
              <w:rPr>
                <w:rFonts w:cs="Arial"/>
                <w:szCs w:val="18"/>
                <w:lang w:val="en-GB"/>
              </w:rPr>
              <w:t>4</w:t>
            </w:r>
            <w:r>
              <w:rPr>
                <w:rFonts w:cs="Arial"/>
                <w:szCs w:val="18"/>
                <w:lang w:val="en-GB"/>
              </w:rPr>
              <w:t>6</w:t>
            </w:r>
          </w:p>
        </w:tc>
        <w:tc>
          <w:tcPr>
            <w:tcW w:w="1418" w:type="dxa"/>
            <w:shd w:val="clear" w:color="auto" w:fill="FFFFFF"/>
          </w:tcPr>
          <w:p w14:paraId="7B42A957" w14:textId="77777777" w:rsidR="00003538" w:rsidRDefault="00003538" w:rsidP="005F7E89">
            <w:pPr>
              <w:pStyle w:val="CETBodytext"/>
              <w:ind w:right="57"/>
              <w:jc w:val="right"/>
              <w:rPr>
                <w:rFonts w:cs="Arial"/>
                <w:szCs w:val="18"/>
                <w:lang w:val="en-GB"/>
              </w:rPr>
            </w:pPr>
            <w:r>
              <w:rPr>
                <w:rFonts w:cs="Arial"/>
                <w:szCs w:val="18"/>
                <w:lang w:val="en-GB"/>
              </w:rPr>
              <w:t>2025</w:t>
            </w:r>
          </w:p>
        </w:tc>
        <w:tc>
          <w:tcPr>
            <w:tcW w:w="2119" w:type="dxa"/>
            <w:shd w:val="clear" w:color="auto" w:fill="FFFFFF"/>
          </w:tcPr>
          <w:p w14:paraId="4767594E" w14:textId="77777777" w:rsidR="00003538" w:rsidRDefault="00003538" w:rsidP="00D35F47">
            <w:pPr>
              <w:pStyle w:val="CETBodytext"/>
              <w:ind w:right="-1"/>
              <w:jc w:val="right"/>
              <w:rPr>
                <w:rFonts w:cs="Arial"/>
                <w:szCs w:val="18"/>
                <w:lang w:val="en-GB"/>
              </w:rPr>
            </w:pPr>
            <w:r w:rsidRPr="006F47C4">
              <w:rPr>
                <w:rFonts w:cs="Arial"/>
                <w:szCs w:val="18"/>
                <w:lang w:val="en-GB"/>
              </w:rPr>
              <w:t>EIA (2025)</w:t>
            </w:r>
          </w:p>
        </w:tc>
      </w:tr>
      <w:tr w:rsidR="00003538" w:rsidRPr="00B57B36" w14:paraId="62677CA1" w14:textId="77777777" w:rsidTr="00CD3498">
        <w:tc>
          <w:tcPr>
            <w:tcW w:w="1418" w:type="dxa"/>
            <w:shd w:val="clear" w:color="auto" w:fill="FFFFFF"/>
          </w:tcPr>
          <w:p w14:paraId="5959A9C8" w14:textId="77777777" w:rsidR="00003538" w:rsidRPr="00B57B36" w:rsidRDefault="00003538" w:rsidP="00003538">
            <w:pPr>
              <w:pStyle w:val="CETBodytext"/>
              <w:ind w:right="-1"/>
              <w:rPr>
                <w:rFonts w:cs="Arial"/>
                <w:szCs w:val="18"/>
                <w:lang w:val="en-GB"/>
              </w:rPr>
            </w:pPr>
            <w:r w:rsidRPr="006F47C4">
              <w:rPr>
                <w:rFonts w:cs="Arial"/>
                <w:szCs w:val="18"/>
                <w:lang w:val="en-GB"/>
              </w:rPr>
              <w:t>Acrolein</w:t>
            </w:r>
          </w:p>
        </w:tc>
        <w:tc>
          <w:tcPr>
            <w:tcW w:w="1102" w:type="dxa"/>
            <w:shd w:val="clear" w:color="auto" w:fill="FFFFFF"/>
          </w:tcPr>
          <w:p w14:paraId="5FD33373"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cs="Arial"/>
                <w:szCs w:val="18"/>
                <w:vertAlign w:val="subscript"/>
                <w:lang w:val="en-GB"/>
              </w:rPr>
              <w:t>3</w:t>
            </w:r>
            <w:r w:rsidRPr="00F55488">
              <w:rPr>
                <w:rFonts w:cs="Arial"/>
                <w:szCs w:val="18"/>
                <w:lang w:val="en-GB"/>
              </w:rPr>
              <w:t>H</w:t>
            </w:r>
            <w:r w:rsidRPr="00F55488">
              <w:rPr>
                <w:rFonts w:cs="Arial"/>
                <w:szCs w:val="18"/>
                <w:vertAlign w:val="subscript"/>
                <w:lang w:val="en-GB"/>
              </w:rPr>
              <w:t>4</w:t>
            </w:r>
            <w:r w:rsidRPr="00F55488">
              <w:rPr>
                <w:rFonts w:cs="Arial"/>
                <w:szCs w:val="18"/>
                <w:lang w:val="en-GB"/>
              </w:rPr>
              <w:t>O</w:t>
            </w:r>
          </w:p>
        </w:tc>
        <w:tc>
          <w:tcPr>
            <w:tcW w:w="1260" w:type="dxa"/>
            <w:shd w:val="clear" w:color="auto" w:fill="FFFFFF"/>
          </w:tcPr>
          <w:p w14:paraId="44699BCB" w14:textId="77777777" w:rsidR="00003538" w:rsidRPr="00B57B36" w:rsidRDefault="00003538" w:rsidP="006F5E93">
            <w:pPr>
              <w:pStyle w:val="CETBodytext"/>
              <w:ind w:right="57"/>
              <w:jc w:val="right"/>
              <w:rPr>
                <w:rFonts w:cs="Arial"/>
                <w:szCs w:val="18"/>
                <w:lang w:val="en-GB"/>
              </w:rPr>
            </w:pPr>
            <w:r>
              <w:rPr>
                <w:rFonts w:cs="Arial"/>
                <w:szCs w:val="18"/>
                <w:lang w:val="en-GB"/>
              </w:rPr>
              <w:t>-85.80</w:t>
            </w:r>
          </w:p>
        </w:tc>
        <w:tc>
          <w:tcPr>
            <w:tcW w:w="1323" w:type="dxa"/>
            <w:shd w:val="clear" w:color="auto" w:fill="FFFFFF"/>
          </w:tcPr>
          <w:p w14:paraId="228A8C7F" w14:textId="77777777" w:rsidR="00003538" w:rsidRDefault="00003538" w:rsidP="0041029E">
            <w:pPr>
              <w:pStyle w:val="CETBodytext"/>
              <w:ind w:right="57"/>
              <w:jc w:val="right"/>
              <w:rPr>
                <w:rFonts w:cs="Arial"/>
                <w:szCs w:val="18"/>
                <w:lang w:val="en-GB"/>
              </w:rPr>
            </w:pPr>
            <w:r w:rsidRPr="006F47C4">
              <w:rPr>
                <w:rFonts w:cs="Arial"/>
                <w:szCs w:val="18"/>
                <w:lang w:val="en-GB"/>
              </w:rPr>
              <w:t>1</w:t>
            </w:r>
            <w:r>
              <w:rPr>
                <w:rFonts w:cs="Arial"/>
                <w:szCs w:val="18"/>
                <w:lang w:val="en-GB"/>
              </w:rPr>
              <w:t>.</w:t>
            </w:r>
            <w:r w:rsidRPr="006F47C4">
              <w:rPr>
                <w:rFonts w:cs="Arial"/>
                <w:szCs w:val="18"/>
                <w:lang w:val="en-GB"/>
              </w:rPr>
              <w:t>4</w:t>
            </w:r>
          </w:p>
        </w:tc>
        <w:tc>
          <w:tcPr>
            <w:tcW w:w="1418" w:type="dxa"/>
            <w:shd w:val="clear" w:color="auto" w:fill="FFFFFF"/>
          </w:tcPr>
          <w:p w14:paraId="383C9E22" w14:textId="77777777" w:rsidR="00003538" w:rsidRDefault="00003538" w:rsidP="005F7E89">
            <w:pPr>
              <w:pStyle w:val="CETBodytext"/>
              <w:ind w:right="57"/>
              <w:jc w:val="right"/>
              <w:rPr>
                <w:rFonts w:cs="Arial"/>
                <w:szCs w:val="18"/>
                <w:lang w:val="en-GB"/>
              </w:rPr>
            </w:pPr>
            <w:r>
              <w:rPr>
                <w:rFonts w:cs="Arial"/>
                <w:szCs w:val="18"/>
                <w:lang w:val="en-GB"/>
              </w:rPr>
              <w:t>2023</w:t>
            </w:r>
          </w:p>
        </w:tc>
        <w:tc>
          <w:tcPr>
            <w:tcW w:w="2119" w:type="dxa"/>
            <w:shd w:val="clear" w:color="auto" w:fill="FFFFFF"/>
          </w:tcPr>
          <w:p w14:paraId="088B4876" w14:textId="77777777" w:rsidR="00003538" w:rsidRDefault="00003538" w:rsidP="00D35F47">
            <w:pPr>
              <w:pStyle w:val="CETBodytext"/>
              <w:ind w:right="-1"/>
              <w:jc w:val="right"/>
              <w:rPr>
                <w:rFonts w:cs="Arial"/>
                <w:szCs w:val="18"/>
                <w:lang w:val="en-GB"/>
              </w:rPr>
            </w:pPr>
            <w:r w:rsidRPr="006F47C4">
              <w:rPr>
                <w:rFonts w:cs="Arial"/>
                <w:szCs w:val="18"/>
                <w:lang w:val="en-GB"/>
              </w:rPr>
              <w:t>Vargas, B.J et al. (2023)</w:t>
            </w:r>
          </w:p>
        </w:tc>
      </w:tr>
      <w:tr w:rsidR="00003538" w:rsidRPr="00B57B36" w14:paraId="7BEB11B1" w14:textId="77777777" w:rsidTr="00CD3498">
        <w:tc>
          <w:tcPr>
            <w:tcW w:w="1418" w:type="dxa"/>
            <w:shd w:val="clear" w:color="auto" w:fill="FFFFFF"/>
          </w:tcPr>
          <w:p w14:paraId="37251B4F" w14:textId="77777777" w:rsidR="00003538" w:rsidRPr="00B57B36" w:rsidRDefault="00003538" w:rsidP="00003538">
            <w:pPr>
              <w:pStyle w:val="CETBodytext"/>
              <w:ind w:right="-1"/>
              <w:rPr>
                <w:rFonts w:cs="Arial"/>
                <w:szCs w:val="18"/>
                <w:lang w:val="en-GB"/>
              </w:rPr>
            </w:pPr>
            <w:r w:rsidRPr="006F47C4">
              <w:rPr>
                <w:rFonts w:cs="Arial"/>
                <w:szCs w:val="18"/>
                <w:lang w:val="en-GB"/>
              </w:rPr>
              <w:t>Acrylonitrile</w:t>
            </w:r>
          </w:p>
        </w:tc>
        <w:tc>
          <w:tcPr>
            <w:tcW w:w="1102" w:type="dxa"/>
            <w:shd w:val="clear" w:color="auto" w:fill="FFFFFF"/>
          </w:tcPr>
          <w:p w14:paraId="259571FA"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cs="Arial"/>
                <w:szCs w:val="18"/>
                <w:vertAlign w:val="subscript"/>
                <w:lang w:val="en-GB"/>
              </w:rPr>
              <w:t>3</w:t>
            </w:r>
            <w:r w:rsidRPr="00F55488">
              <w:rPr>
                <w:rFonts w:cs="Arial"/>
                <w:szCs w:val="18"/>
                <w:lang w:val="en-GB"/>
              </w:rPr>
              <w:t>H</w:t>
            </w:r>
            <w:r w:rsidRPr="00F55488">
              <w:rPr>
                <w:rFonts w:cs="Arial"/>
                <w:szCs w:val="18"/>
                <w:vertAlign w:val="subscript"/>
                <w:lang w:val="en-GB"/>
              </w:rPr>
              <w:t>3</w:t>
            </w:r>
            <w:r w:rsidRPr="00F55488">
              <w:rPr>
                <w:rFonts w:cs="Arial"/>
                <w:szCs w:val="18"/>
                <w:lang w:val="en-GB"/>
              </w:rPr>
              <w:t>N</w:t>
            </w:r>
          </w:p>
        </w:tc>
        <w:tc>
          <w:tcPr>
            <w:tcW w:w="1260" w:type="dxa"/>
            <w:shd w:val="clear" w:color="auto" w:fill="FFFFFF"/>
          </w:tcPr>
          <w:p w14:paraId="71425A36" w14:textId="77777777" w:rsidR="00003538" w:rsidRPr="00B57B36" w:rsidRDefault="00003538" w:rsidP="006F5E93">
            <w:pPr>
              <w:pStyle w:val="CETBodytext"/>
              <w:ind w:right="57"/>
              <w:jc w:val="right"/>
              <w:rPr>
                <w:rFonts w:cs="Arial"/>
                <w:szCs w:val="18"/>
                <w:lang w:val="en-GB"/>
              </w:rPr>
            </w:pPr>
            <w:r>
              <w:rPr>
                <w:rFonts w:cs="Arial"/>
                <w:szCs w:val="18"/>
                <w:lang w:val="en-GB"/>
              </w:rPr>
              <w:t>185.00</w:t>
            </w:r>
          </w:p>
        </w:tc>
        <w:tc>
          <w:tcPr>
            <w:tcW w:w="1323" w:type="dxa"/>
            <w:shd w:val="clear" w:color="auto" w:fill="FFFFFF"/>
          </w:tcPr>
          <w:p w14:paraId="198BB405" w14:textId="77777777" w:rsidR="00003538" w:rsidRDefault="00003538" w:rsidP="0041029E">
            <w:pPr>
              <w:pStyle w:val="CETBodytext"/>
              <w:ind w:right="57"/>
              <w:jc w:val="right"/>
              <w:rPr>
                <w:rFonts w:cs="Arial"/>
                <w:szCs w:val="18"/>
                <w:lang w:val="en-GB"/>
              </w:rPr>
            </w:pPr>
            <w:r w:rsidRPr="006F47C4">
              <w:rPr>
                <w:rFonts w:cs="Arial"/>
                <w:szCs w:val="18"/>
                <w:lang w:val="en-GB"/>
              </w:rPr>
              <w:t>1</w:t>
            </w:r>
            <w:r>
              <w:rPr>
                <w:rFonts w:cs="Arial"/>
                <w:szCs w:val="18"/>
                <w:lang w:val="en-GB"/>
              </w:rPr>
              <w:t>.</w:t>
            </w:r>
            <w:r w:rsidRPr="006F47C4">
              <w:rPr>
                <w:rFonts w:cs="Arial"/>
                <w:szCs w:val="18"/>
                <w:lang w:val="en-GB"/>
              </w:rPr>
              <w:t>3</w:t>
            </w:r>
          </w:p>
        </w:tc>
        <w:tc>
          <w:tcPr>
            <w:tcW w:w="1418" w:type="dxa"/>
            <w:shd w:val="clear" w:color="auto" w:fill="FFFFFF"/>
          </w:tcPr>
          <w:p w14:paraId="1F85D499" w14:textId="77777777" w:rsidR="00003538" w:rsidRDefault="00003538" w:rsidP="005F7E89">
            <w:pPr>
              <w:pStyle w:val="CETBodytext"/>
              <w:ind w:right="57"/>
              <w:jc w:val="right"/>
              <w:rPr>
                <w:rFonts w:cs="Arial"/>
                <w:szCs w:val="18"/>
                <w:lang w:val="en-GB"/>
              </w:rPr>
            </w:pPr>
            <w:r>
              <w:rPr>
                <w:rFonts w:cs="Arial"/>
                <w:szCs w:val="18"/>
                <w:lang w:val="en-GB"/>
              </w:rPr>
              <w:t>2024</w:t>
            </w:r>
          </w:p>
        </w:tc>
        <w:tc>
          <w:tcPr>
            <w:tcW w:w="2119" w:type="dxa"/>
            <w:shd w:val="clear" w:color="auto" w:fill="FFFFFF"/>
          </w:tcPr>
          <w:p w14:paraId="6C39AE92" w14:textId="77777777" w:rsidR="00003538" w:rsidRDefault="00003538" w:rsidP="00D35F47">
            <w:pPr>
              <w:pStyle w:val="CETBodytext"/>
              <w:ind w:right="-1"/>
              <w:jc w:val="right"/>
              <w:rPr>
                <w:rFonts w:cs="Arial"/>
                <w:szCs w:val="18"/>
                <w:lang w:val="en-GB"/>
              </w:rPr>
            </w:pPr>
            <w:r w:rsidRPr="006F47C4">
              <w:rPr>
                <w:rFonts w:cs="Arial"/>
                <w:szCs w:val="18"/>
                <w:lang w:val="en-GB"/>
              </w:rPr>
              <w:t>Statista (2025</w:t>
            </w:r>
            <w:r w:rsidR="00A86FC0">
              <w:rPr>
                <w:rFonts w:cs="Arial"/>
                <w:szCs w:val="18"/>
                <w:lang w:val="en-GB"/>
              </w:rPr>
              <w:t>b</w:t>
            </w:r>
            <w:r w:rsidRPr="006F47C4">
              <w:rPr>
                <w:rFonts w:cs="Arial"/>
                <w:szCs w:val="18"/>
                <w:lang w:val="en-GB"/>
              </w:rPr>
              <w:t>)</w:t>
            </w:r>
          </w:p>
        </w:tc>
      </w:tr>
      <w:tr w:rsidR="00003538" w:rsidRPr="00B57B36" w14:paraId="1C9EA823" w14:textId="77777777" w:rsidTr="00CD3498">
        <w:tc>
          <w:tcPr>
            <w:tcW w:w="1418" w:type="dxa"/>
            <w:shd w:val="clear" w:color="auto" w:fill="FFFFFF"/>
          </w:tcPr>
          <w:p w14:paraId="0412C0D8" w14:textId="77777777" w:rsidR="00003538" w:rsidRPr="00B57B36" w:rsidRDefault="00003538" w:rsidP="00003538">
            <w:pPr>
              <w:pStyle w:val="CETBodytext"/>
              <w:ind w:right="-1"/>
              <w:rPr>
                <w:rFonts w:cs="Arial"/>
                <w:szCs w:val="18"/>
                <w:lang w:val="en-GB"/>
              </w:rPr>
            </w:pPr>
            <w:r w:rsidRPr="006F47C4">
              <w:rPr>
                <w:rFonts w:cs="Arial"/>
                <w:szCs w:val="18"/>
                <w:lang w:val="en-GB"/>
              </w:rPr>
              <w:t>Acrylic acid</w:t>
            </w:r>
          </w:p>
        </w:tc>
        <w:tc>
          <w:tcPr>
            <w:tcW w:w="1102" w:type="dxa"/>
            <w:shd w:val="clear" w:color="auto" w:fill="FFFFFF"/>
          </w:tcPr>
          <w:p w14:paraId="5E7CD697"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cs="Arial"/>
                <w:szCs w:val="18"/>
                <w:vertAlign w:val="subscript"/>
                <w:lang w:val="en-GB"/>
              </w:rPr>
              <w:t>3</w:t>
            </w:r>
            <w:r w:rsidRPr="00F55488">
              <w:rPr>
                <w:rFonts w:cs="Arial"/>
                <w:szCs w:val="18"/>
                <w:lang w:val="en-GB"/>
              </w:rPr>
              <w:t>H</w:t>
            </w:r>
            <w:r w:rsidRPr="00F55488">
              <w:rPr>
                <w:rFonts w:cs="Arial"/>
                <w:szCs w:val="18"/>
                <w:vertAlign w:val="subscript"/>
                <w:lang w:val="en-GB"/>
              </w:rPr>
              <w:t>4</w:t>
            </w:r>
            <w:r w:rsidRPr="00F55488">
              <w:rPr>
                <w:rFonts w:cs="Arial"/>
                <w:szCs w:val="18"/>
                <w:lang w:val="en-GB"/>
              </w:rPr>
              <w:t>O</w:t>
            </w:r>
            <w:r w:rsidRPr="00F55488">
              <w:rPr>
                <w:rFonts w:cs="Arial"/>
                <w:szCs w:val="18"/>
                <w:vertAlign w:val="subscript"/>
                <w:lang w:val="en-GB"/>
              </w:rPr>
              <w:t>2</w:t>
            </w:r>
          </w:p>
        </w:tc>
        <w:tc>
          <w:tcPr>
            <w:tcW w:w="1260" w:type="dxa"/>
            <w:shd w:val="clear" w:color="auto" w:fill="FFFFFF"/>
          </w:tcPr>
          <w:p w14:paraId="76413A91" w14:textId="77777777" w:rsidR="00003538" w:rsidRPr="00B57B36" w:rsidRDefault="00003538" w:rsidP="006F5E93">
            <w:pPr>
              <w:pStyle w:val="CETBodytext"/>
              <w:ind w:right="57"/>
              <w:jc w:val="right"/>
              <w:rPr>
                <w:rFonts w:cs="Arial"/>
                <w:szCs w:val="18"/>
                <w:lang w:val="en-GB"/>
              </w:rPr>
            </w:pPr>
            <w:r>
              <w:rPr>
                <w:rFonts w:cs="Arial"/>
                <w:szCs w:val="18"/>
                <w:lang w:val="en-GB"/>
              </w:rPr>
              <w:t>-355.90</w:t>
            </w:r>
          </w:p>
        </w:tc>
        <w:tc>
          <w:tcPr>
            <w:tcW w:w="1323" w:type="dxa"/>
            <w:shd w:val="clear" w:color="auto" w:fill="FFFFFF"/>
          </w:tcPr>
          <w:p w14:paraId="3F70B31A" w14:textId="77777777" w:rsidR="00003538" w:rsidRDefault="00003538" w:rsidP="0041029E">
            <w:pPr>
              <w:pStyle w:val="CETBodytext"/>
              <w:ind w:right="57"/>
              <w:jc w:val="right"/>
              <w:rPr>
                <w:rFonts w:cs="Arial"/>
                <w:szCs w:val="18"/>
                <w:lang w:val="en-GB"/>
              </w:rPr>
            </w:pPr>
            <w:r w:rsidRPr="006F47C4">
              <w:rPr>
                <w:rFonts w:cs="Arial"/>
                <w:szCs w:val="18"/>
                <w:lang w:val="en-GB"/>
              </w:rPr>
              <w:t>1</w:t>
            </w:r>
            <w:r>
              <w:rPr>
                <w:rFonts w:cs="Arial"/>
                <w:szCs w:val="18"/>
                <w:lang w:val="en-GB"/>
              </w:rPr>
              <w:t>.</w:t>
            </w:r>
            <w:r w:rsidRPr="006F47C4">
              <w:rPr>
                <w:rFonts w:cs="Arial"/>
                <w:szCs w:val="18"/>
                <w:lang w:val="en-GB"/>
              </w:rPr>
              <w:t>40</w:t>
            </w:r>
          </w:p>
        </w:tc>
        <w:tc>
          <w:tcPr>
            <w:tcW w:w="1418" w:type="dxa"/>
            <w:shd w:val="clear" w:color="auto" w:fill="FFFFFF"/>
          </w:tcPr>
          <w:p w14:paraId="6193D1F9" w14:textId="77777777" w:rsidR="00003538" w:rsidRDefault="00003538" w:rsidP="005F7E89">
            <w:pPr>
              <w:pStyle w:val="CETBodytext"/>
              <w:ind w:right="57"/>
              <w:jc w:val="right"/>
              <w:rPr>
                <w:rFonts w:cs="Arial"/>
                <w:szCs w:val="18"/>
                <w:lang w:val="en-GB"/>
              </w:rPr>
            </w:pPr>
            <w:r>
              <w:rPr>
                <w:rFonts w:cs="Arial"/>
                <w:szCs w:val="18"/>
                <w:lang w:val="en-GB"/>
              </w:rPr>
              <w:t>2024</w:t>
            </w:r>
          </w:p>
        </w:tc>
        <w:tc>
          <w:tcPr>
            <w:tcW w:w="2119" w:type="dxa"/>
            <w:shd w:val="clear" w:color="auto" w:fill="FFFFFF"/>
          </w:tcPr>
          <w:p w14:paraId="7EEB1C03" w14:textId="77777777" w:rsidR="00003538" w:rsidRDefault="00003538" w:rsidP="00D35F47">
            <w:pPr>
              <w:pStyle w:val="CETBodytext"/>
              <w:ind w:right="-1"/>
              <w:jc w:val="right"/>
              <w:rPr>
                <w:rFonts w:cs="Arial"/>
                <w:szCs w:val="18"/>
                <w:lang w:val="en-GB"/>
              </w:rPr>
            </w:pPr>
            <w:r w:rsidRPr="006F47C4">
              <w:rPr>
                <w:rFonts w:cs="Arial"/>
                <w:szCs w:val="18"/>
                <w:lang w:val="en-GB"/>
              </w:rPr>
              <w:t>Imarc (2025</w:t>
            </w:r>
            <w:r w:rsidR="00A86FC0">
              <w:rPr>
                <w:rFonts w:cs="Arial"/>
                <w:szCs w:val="18"/>
                <w:lang w:val="en-GB"/>
              </w:rPr>
              <w:t>e</w:t>
            </w:r>
            <w:r w:rsidRPr="006F47C4">
              <w:rPr>
                <w:rFonts w:cs="Arial"/>
                <w:szCs w:val="18"/>
                <w:lang w:val="en-GB"/>
              </w:rPr>
              <w:t>)</w:t>
            </w:r>
          </w:p>
        </w:tc>
      </w:tr>
      <w:tr w:rsidR="00003538" w:rsidRPr="00B57B36" w14:paraId="62ECB882" w14:textId="77777777" w:rsidTr="00CD3498">
        <w:tc>
          <w:tcPr>
            <w:tcW w:w="1418" w:type="dxa"/>
            <w:shd w:val="clear" w:color="auto" w:fill="FFFFFF"/>
          </w:tcPr>
          <w:p w14:paraId="0DA502BC" w14:textId="77777777" w:rsidR="00003538" w:rsidRPr="00B57B36" w:rsidRDefault="00003538" w:rsidP="00003538">
            <w:pPr>
              <w:pStyle w:val="CETBodytext"/>
              <w:ind w:right="-1"/>
              <w:rPr>
                <w:rFonts w:cs="Arial"/>
                <w:szCs w:val="18"/>
                <w:lang w:val="en-GB"/>
              </w:rPr>
            </w:pPr>
            <w:r w:rsidRPr="006F47C4">
              <w:rPr>
                <w:rFonts w:cs="Arial"/>
                <w:szCs w:val="18"/>
                <w:lang w:val="en-GB"/>
              </w:rPr>
              <w:t>Ethylene glycol</w:t>
            </w:r>
          </w:p>
        </w:tc>
        <w:tc>
          <w:tcPr>
            <w:tcW w:w="1102" w:type="dxa"/>
            <w:shd w:val="clear" w:color="auto" w:fill="FFFFFF"/>
          </w:tcPr>
          <w:p w14:paraId="0E66ACBC" w14:textId="77777777" w:rsidR="00003538" w:rsidRPr="00B57B36" w:rsidRDefault="00003538" w:rsidP="00003538">
            <w:pPr>
              <w:pStyle w:val="CETBodytext"/>
              <w:ind w:right="-1"/>
              <w:jc w:val="left"/>
              <w:rPr>
                <w:rFonts w:cs="Arial"/>
                <w:szCs w:val="18"/>
                <w:lang w:val="en-GB"/>
              </w:rPr>
            </w:pPr>
            <w:r w:rsidRPr="00F55488">
              <w:rPr>
                <w:rFonts w:cs="Arial"/>
                <w:szCs w:val="18"/>
                <w:lang w:val="en-GB"/>
              </w:rPr>
              <w:t>C</w:t>
            </w:r>
            <w:r w:rsidRPr="00F55488">
              <w:rPr>
                <w:rFonts w:ascii="Cambria Math" w:hAnsi="Cambria Math" w:cs="Cambria Math"/>
                <w:szCs w:val="18"/>
                <w:lang w:val="en-GB"/>
              </w:rPr>
              <w:t>₂</w:t>
            </w:r>
            <w:r w:rsidRPr="00F55488">
              <w:rPr>
                <w:rFonts w:cs="Arial"/>
                <w:szCs w:val="18"/>
                <w:lang w:val="en-GB"/>
              </w:rPr>
              <w:t>H</w:t>
            </w:r>
            <w:r w:rsidRPr="00F55488">
              <w:rPr>
                <w:rFonts w:ascii="Cambria Math" w:hAnsi="Cambria Math" w:cs="Cambria Math"/>
                <w:szCs w:val="18"/>
                <w:lang w:val="en-GB"/>
              </w:rPr>
              <w:t>₆</w:t>
            </w:r>
            <w:r w:rsidRPr="00F55488">
              <w:rPr>
                <w:rFonts w:cs="Arial"/>
                <w:szCs w:val="18"/>
                <w:lang w:val="en-GB"/>
              </w:rPr>
              <w:t>O</w:t>
            </w:r>
            <w:r w:rsidRPr="00F55488">
              <w:rPr>
                <w:rFonts w:ascii="Cambria Math" w:hAnsi="Cambria Math" w:cs="Cambria Math"/>
                <w:szCs w:val="18"/>
                <w:lang w:val="en-GB"/>
              </w:rPr>
              <w:t>₂</w:t>
            </w:r>
          </w:p>
        </w:tc>
        <w:tc>
          <w:tcPr>
            <w:tcW w:w="1260" w:type="dxa"/>
            <w:shd w:val="clear" w:color="auto" w:fill="FFFFFF"/>
          </w:tcPr>
          <w:p w14:paraId="13FD51E3" w14:textId="77777777" w:rsidR="00003538" w:rsidRPr="00B57B36" w:rsidRDefault="00003538" w:rsidP="006F5E93">
            <w:pPr>
              <w:pStyle w:val="CETBodytext"/>
              <w:ind w:right="57"/>
              <w:jc w:val="right"/>
              <w:rPr>
                <w:rFonts w:cs="Arial"/>
                <w:szCs w:val="18"/>
                <w:lang w:val="en-GB"/>
              </w:rPr>
            </w:pPr>
            <w:r>
              <w:rPr>
                <w:rFonts w:cs="Arial"/>
                <w:szCs w:val="18"/>
                <w:lang w:val="en-GB"/>
              </w:rPr>
              <w:t>-392.20</w:t>
            </w:r>
          </w:p>
        </w:tc>
        <w:tc>
          <w:tcPr>
            <w:tcW w:w="1323" w:type="dxa"/>
            <w:shd w:val="clear" w:color="auto" w:fill="FFFFFF"/>
          </w:tcPr>
          <w:p w14:paraId="783B1DAB" w14:textId="77777777" w:rsidR="00003538" w:rsidRDefault="00003538" w:rsidP="0041029E">
            <w:pPr>
              <w:pStyle w:val="CETBodytext"/>
              <w:ind w:right="57"/>
              <w:jc w:val="right"/>
              <w:rPr>
                <w:rFonts w:cs="Arial"/>
                <w:szCs w:val="18"/>
                <w:lang w:val="en-GB"/>
              </w:rPr>
            </w:pPr>
            <w:r w:rsidRPr="006F47C4">
              <w:rPr>
                <w:rFonts w:cs="Arial"/>
                <w:szCs w:val="18"/>
                <w:lang w:val="en-GB"/>
              </w:rPr>
              <w:t>0</w:t>
            </w:r>
            <w:r>
              <w:rPr>
                <w:rFonts w:cs="Arial"/>
                <w:szCs w:val="18"/>
                <w:lang w:val="en-GB"/>
              </w:rPr>
              <w:t>.</w:t>
            </w:r>
            <w:r w:rsidRPr="006F47C4">
              <w:rPr>
                <w:rFonts w:cs="Arial"/>
                <w:szCs w:val="18"/>
                <w:lang w:val="en-GB"/>
              </w:rPr>
              <w:t>72</w:t>
            </w:r>
          </w:p>
        </w:tc>
        <w:tc>
          <w:tcPr>
            <w:tcW w:w="1418" w:type="dxa"/>
            <w:shd w:val="clear" w:color="auto" w:fill="FFFFFF"/>
          </w:tcPr>
          <w:p w14:paraId="0EEE2FC5" w14:textId="77777777" w:rsidR="00003538" w:rsidRDefault="00003538" w:rsidP="005F7E89">
            <w:pPr>
              <w:pStyle w:val="CETBodytext"/>
              <w:ind w:right="57"/>
              <w:jc w:val="right"/>
              <w:rPr>
                <w:rFonts w:cs="Arial"/>
                <w:szCs w:val="18"/>
                <w:lang w:val="en-GB"/>
              </w:rPr>
            </w:pPr>
            <w:r>
              <w:rPr>
                <w:rFonts w:cs="Arial"/>
                <w:szCs w:val="18"/>
                <w:lang w:val="en-GB"/>
              </w:rPr>
              <w:t>2022</w:t>
            </w:r>
          </w:p>
        </w:tc>
        <w:tc>
          <w:tcPr>
            <w:tcW w:w="2119" w:type="dxa"/>
            <w:shd w:val="clear" w:color="auto" w:fill="FFFFFF"/>
          </w:tcPr>
          <w:p w14:paraId="62AB5BC6" w14:textId="77777777" w:rsidR="00003538" w:rsidRDefault="00003538" w:rsidP="00D35F47">
            <w:pPr>
              <w:pStyle w:val="CETBodytext"/>
              <w:ind w:right="-1"/>
              <w:jc w:val="right"/>
              <w:rPr>
                <w:rFonts w:cs="Arial"/>
                <w:szCs w:val="18"/>
                <w:lang w:val="en-GB"/>
              </w:rPr>
            </w:pPr>
            <w:r w:rsidRPr="006F47C4">
              <w:rPr>
                <w:rFonts w:cs="Arial"/>
                <w:szCs w:val="18"/>
                <w:lang w:val="en-GB"/>
              </w:rPr>
              <w:t>Sunsirs (2022)</w:t>
            </w:r>
          </w:p>
        </w:tc>
      </w:tr>
      <w:tr w:rsidR="00003538" w:rsidRPr="00B57B36" w14:paraId="4842B117" w14:textId="77777777" w:rsidTr="00CD3498">
        <w:tc>
          <w:tcPr>
            <w:tcW w:w="1418" w:type="dxa"/>
            <w:shd w:val="clear" w:color="auto" w:fill="FFFFFF"/>
          </w:tcPr>
          <w:p w14:paraId="2E6F3D8D" w14:textId="77777777" w:rsidR="00003538" w:rsidRPr="00B57B36" w:rsidRDefault="00003538" w:rsidP="00003538">
            <w:pPr>
              <w:pStyle w:val="CETBodytext"/>
              <w:ind w:right="-1"/>
              <w:rPr>
                <w:rFonts w:cs="Arial"/>
                <w:szCs w:val="18"/>
                <w:lang w:val="en-GB"/>
              </w:rPr>
            </w:pPr>
            <w:r w:rsidRPr="006F47C4">
              <w:rPr>
                <w:rFonts w:cs="Arial"/>
                <w:szCs w:val="18"/>
                <w:lang w:val="en-GB"/>
              </w:rPr>
              <w:t>Hydrogen</w:t>
            </w:r>
          </w:p>
        </w:tc>
        <w:tc>
          <w:tcPr>
            <w:tcW w:w="1102" w:type="dxa"/>
            <w:shd w:val="clear" w:color="auto" w:fill="FFFFFF"/>
          </w:tcPr>
          <w:p w14:paraId="7C991A64" w14:textId="77777777" w:rsidR="00003538" w:rsidRPr="00B57B36" w:rsidRDefault="00003538" w:rsidP="00003538">
            <w:pPr>
              <w:pStyle w:val="CETBodytext"/>
              <w:ind w:right="-1"/>
              <w:jc w:val="left"/>
              <w:rPr>
                <w:rFonts w:cs="Arial"/>
                <w:szCs w:val="18"/>
                <w:lang w:val="en-GB"/>
              </w:rPr>
            </w:pPr>
            <w:r>
              <w:rPr>
                <w:rFonts w:cs="Arial"/>
                <w:szCs w:val="18"/>
                <w:lang w:val="en-GB"/>
              </w:rPr>
              <w:t>H</w:t>
            </w:r>
            <w:r w:rsidRPr="00F55488">
              <w:rPr>
                <w:rFonts w:cs="Arial"/>
                <w:szCs w:val="18"/>
                <w:vertAlign w:val="subscript"/>
                <w:lang w:val="en-GB"/>
              </w:rPr>
              <w:t>2</w:t>
            </w:r>
          </w:p>
        </w:tc>
        <w:tc>
          <w:tcPr>
            <w:tcW w:w="1260" w:type="dxa"/>
            <w:shd w:val="clear" w:color="auto" w:fill="FFFFFF"/>
          </w:tcPr>
          <w:p w14:paraId="18967C2C" w14:textId="77777777" w:rsidR="00003538" w:rsidRPr="00164D93" w:rsidRDefault="00003538" w:rsidP="006F5E93">
            <w:pPr>
              <w:pStyle w:val="CETBodytext"/>
              <w:ind w:right="57"/>
              <w:jc w:val="right"/>
              <w:rPr>
                <w:rFonts w:cs="Arial"/>
                <w:szCs w:val="18"/>
                <w:highlight w:val="green"/>
                <w:lang w:val="en-GB"/>
              </w:rPr>
            </w:pPr>
            <w:r w:rsidRPr="00F55488">
              <w:rPr>
                <w:rFonts w:cs="Arial"/>
                <w:szCs w:val="18"/>
                <w:lang w:val="en-GB"/>
              </w:rPr>
              <w:t>0.0</w:t>
            </w:r>
            <w:r>
              <w:rPr>
                <w:rFonts w:cs="Arial"/>
                <w:szCs w:val="18"/>
                <w:lang w:val="en-GB"/>
              </w:rPr>
              <w:t>0</w:t>
            </w:r>
          </w:p>
        </w:tc>
        <w:tc>
          <w:tcPr>
            <w:tcW w:w="1323" w:type="dxa"/>
            <w:shd w:val="clear" w:color="auto" w:fill="FFFFFF"/>
          </w:tcPr>
          <w:p w14:paraId="6026519D" w14:textId="77777777" w:rsidR="00003538" w:rsidRPr="00F55488" w:rsidRDefault="00003538" w:rsidP="0041029E">
            <w:pPr>
              <w:pStyle w:val="CETBodytext"/>
              <w:ind w:right="57"/>
              <w:jc w:val="right"/>
              <w:rPr>
                <w:rFonts w:cs="Arial"/>
                <w:szCs w:val="18"/>
                <w:lang w:val="en-GB"/>
              </w:rPr>
            </w:pPr>
            <w:r w:rsidRPr="006F47C4">
              <w:rPr>
                <w:rFonts w:cs="Arial"/>
                <w:szCs w:val="18"/>
                <w:lang w:val="en-GB"/>
              </w:rPr>
              <w:t>1</w:t>
            </w:r>
            <w:r>
              <w:rPr>
                <w:rFonts w:cs="Arial"/>
                <w:szCs w:val="18"/>
                <w:lang w:val="en-GB"/>
              </w:rPr>
              <w:t>.</w:t>
            </w:r>
            <w:r w:rsidRPr="006F47C4">
              <w:rPr>
                <w:rFonts w:cs="Arial"/>
                <w:szCs w:val="18"/>
                <w:lang w:val="en-GB"/>
              </w:rPr>
              <w:t>70</w:t>
            </w:r>
          </w:p>
        </w:tc>
        <w:tc>
          <w:tcPr>
            <w:tcW w:w="1418" w:type="dxa"/>
            <w:shd w:val="clear" w:color="auto" w:fill="FFFFFF"/>
          </w:tcPr>
          <w:p w14:paraId="3915E5A1" w14:textId="77777777" w:rsidR="00003538" w:rsidRPr="00F55488" w:rsidRDefault="00003538" w:rsidP="005F7E89">
            <w:pPr>
              <w:pStyle w:val="CETBodytext"/>
              <w:ind w:right="57"/>
              <w:jc w:val="right"/>
              <w:rPr>
                <w:rFonts w:cs="Arial"/>
                <w:szCs w:val="18"/>
                <w:lang w:val="en-GB"/>
              </w:rPr>
            </w:pPr>
            <w:r>
              <w:rPr>
                <w:rFonts w:cs="Arial"/>
                <w:szCs w:val="18"/>
                <w:lang w:val="en-GB"/>
              </w:rPr>
              <w:t>2023</w:t>
            </w:r>
          </w:p>
        </w:tc>
        <w:tc>
          <w:tcPr>
            <w:tcW w:w="2119" w:type="dxa"/>
            <w:shd w:val="clear" w:color="auto" w:fill="FFFFFF"/>
          </w:tcPr>
          <w:p w14:paraId="1817130E" w14:textId="77777777" w:rsidR="00003538" w:rsidRPr="00F55488" w:rsidRDefault="00003538" w:rsidP="00D35F47">
            <w:pPr>
              <w:pStyle w:val="CETBodytext"/>
              <w:ind w:right="-1"/>
              <w:jc w:val="right"/>
              <w:rPr>
                <w:rFonts w:cs="Arial"/>
                <w:szCs w:val="18"/>
                <w:lang w:val="en-GB"/>
              </w:rPr>
            </w:pPr>
            <w:r w:rsidRPr="006F47C4">
              <w:rPr>
                <w:rFonts w:cs="Arial"/>
                <w:szCs w:val="18"/>
                <w:lang w:val="en-GB"/>
              </w:rPr>
              <w:t>Curcio (2025)</w:t>
            </w:r>
          </w:p>
        </w:tc>
      </w:tr>
    </w:tbl>
    <w:p w14:paraId="41909141" w14:textId="77777777" w:rsidR="007457C5" w:rsidRDefault="007457C5" w:rsidP="00DE74BA">
      <w:pPr>
        <w:pStyle w:val="CETBodytext"/>
      </w:pPr>
    </w:p>
    <w:p w14:paraId="6221328B" w14:textId="77777777" w:rsidR="00453E24" w:rsidRDefault="00840B36" w:rsidP="00A6643D">
      <w:pPr>
        <w:pStyle w:val="CETheadingx"/>
      </w:pPr>
      <w:r w:rsidRPr="00840B36">
        <w:t>Scenario Construction</w:t>
      </w:r>
    </w:p>
    <w:p w14:paraId="2E9CE6B9" w14:textId="77777777" w:rsidR="00453E24" w:rsidRDefault="00846F9B" w:rsidP="00453E24">
      <w:pPr>
        <w:pStyle w:val="CETBodytext"/>
        <w:rPr>
          <w:lang w:val="en-GB"/>
        </w:rPr>
      </w:pPr>
      <w:r w:rsidRPr="00846F9B">
        <w:rPr>
          <w:lang w:val="en-GB"/>
        </w:rPr>
        <w:t xml:space="preserve">Eight optimization scenarios were evaluated using the same objective function and database, with a fixed glycerol feed of 100 </w:t>
      </w:r>
      <w:r w:rsidR="00F21E76">
        <w:rPr>
          <w:lang w:val="en-GB"/>
        </w:rPr>
        <w:t>kg</w:t>
      </w:r>
      <w:r w:rsidRPr="00846F9B">
        <w:rPr>
          <w:lang w:val="en-GB"/>
        </w:rPr>
        <w:t>mol (nC</w:t>
      </w:r>
      <w:r w:rsidRPr="00846F9B">
        <w:rPr>
          <w:rFonts w:ascii="Cambria Math" w:hAnsi="Cambria Math" w:cs="Cambria Math"/>
          <w:lang w:val="en-GB"/>
        </w:rPr>
        <w:t>₃</w:t>
      </w:r>
      <w:r w:rsidRPr="00846F9B">
        <w:rPr>
          <w:lang w:val="en-GB"/>
        </w:rPr>
        <w:t>H</w:t>
      </w:r>
      <w:r w:rsidRPr="00846F9B">
        <w:rPr>
          <w:rFonts w:ascii="Cambria Math" w:hAnsi="Cambria Math" w:cs="Cambria Math"/>
          <w:lang w:val="en-GB"/>
        </w:rPr>
        <w:t>₈</w:t>
      </w:r>
      <w:r w:rsidRPr="00846F9B">
        <w:rPr>
          <w:lang w:val="en-GB"/>
        </w:rPr>
        <w:t>O</w:t>
      </w:r>
      <w:r w:rsidRPr="00846F9B">
        <w:rPr>
          <w:rFonts w:ascii="Cambria Math" w:hAnsi="Cambria Math" w:cs="Cambria Math"/>
          <w:lang w:val="en-GB"/>
        </w:rPr>
        <w:t>₃</w:t>
      </w:r>
      <w:r w:rsidRPr="00846F9B">
        <w:rPr>
          <w:lang w:val="en-GB"/>
        </w:rPr>
        <w:t xml:space="preserve"> = 100).</w:t>
      </w:r>
    </w:p>
    <w:p w14:paraId="544C1415" w14:textId="77777777" w:rsidR="00846F9B" w:rsidRDefault="00846F9B" w:rsidP="00453E24">
      <w:pPr>
        <w:pStyle w:val="CETBodytext"/>
        <w:rPr>
          <w:lang w:val="en-GB"/>
        </w:rPr>
      </w:pPr>
      <w:r w:rsidRPr="00846F9B">
        <w:rPr>
          <w:lang w:val="en-GB"/>
        </w:rPr>
        <w:t xml:space="preserve">In Scenarios 1–3, only the </w:t>
      </w:r>
      <w:r w:rsidR="00584A0A" w:rsidRPr="00584A0A">
        <w:rPr>
          <w:lang w:val="en-GB"/>
        </w:rPr>
        <w:t xml:space="preserve">fixed hydrogen production </w:t>
      </w:r>
      <w:r w:rsidRPr="00846F9B">
        <w:rPr>
          <w:lang w:val="en-GB"/>
        </w:rPr>
        <w:t>(nH</w:t>
      </w:r>
      <w:r w:rsidRPr="00846F9B">
        <w:rPr>
          <w:rFonts w:ascii="Cambria Math" w:hAnsi="Cambria Math" w:cs="Cambria Math"/>
          <w:lang w:val="en-GB"/>
        </w:rPr>
        <w:t>₂</w:t>
      </w:r>
      <w:r w:rsidRPr="00846F9B">
        <w:rPr>
          <w:lang w:val="en-GB"/>
        </w:rPr>
        <w:t>) was varied. To evaluate the influence of the water-oxygen ratio, Scenarios 4</w:t>
      </w:r>
      <w:r w:rsidRPr="00846F9B">
        <w:rPr>
          <w:rFonts w:cs="Arial"/>
          <w:lang w:val="en-GB"/>
        </w:rPr>
        <w:t>–</w:t>
      </w:r>
      <w:r w:rsidRPr="00846F9B">
        <w:rPr>
          <w:lang w:val="en-GB"/>
        </w:rPr>
        <w:t>6 were formulated by imposing simultaneous restrictions on the use of O</w:t>
      </w:r>
      <w:r w:rsidRPr="00846F9B">
        <w:rPr>
          <w:rFonts w:ascii="Cambria Math" w:hAnsi="Cambria Math" w:cs="Cambria Math"/>
          <w:lang w:val="en-GB"/>
        </w:rPr>
        <w:t>₂</w:t>
      </w:r>
      <w:r w:rsidRPr="00846F9B">
        <w:rPr>
          <w:lang w:val="en-GB"/>
        </w:rPr>
        <w:t xml:space="preserve"> and H</w:t>
      </w:r>
      <w:r w:rsidRPr="00846F9B">
        <w:rPr>
          <w:rFonts w:ascii="Cambria Math" w:hAnsi="Cambria Math" w:cs="Cambria Math"/>
          <w:lang w:val="en-GB"/>
        </w:rPr>
        <w:t>₂</w:t>
      </w:r>
      <w:r w:rsidRPr="00846F9B">
        <w:rPr>
          <w:lang w:val="en-GB"/>
        </w:rPr>
        <w:t>O. Finally, since N</w:t>
      </w:r>
      <w:r w:rsidRPr="00846F9B">
        <w:rPr>
          <w:rFonts w:ascii="Cambria Math" w:hAnsi="Cambria Math" w:cs="Cambria Math"/>
          <w:lang w:val="en-GB"/>
        </w:rPr>
        <w:t>₂</w:t>
      </w:r>
      <w:r w:rsidRPr="00846F9B">
        <w:rPr>
          <w:lang w:val="en-GB"/>
        </w:rPr>
        <w:t xml:space="preserve"> was not selected in the initial scenarios, Scenarios 7 and 8 included a minimum usage restriction for this component, aiming to evaluate its effect and the possible formation of new compounds.</w:t>
      </w:r>
    </w:p>
    <w:p w14:paraId="05AB5169" w14:textId="77777777" w:rsidR="00FB01A1" w:rsidRPr="00FB01A1" w:rsidRDefault="00FB01A1" w:rsidP="00FB01A1">
      <w:pPr>
        <w:pStyle w:val="CETnumberingbullets"/>
      </w:pPr>
      <w:r w:rsidRPr="00FB01A1">
        <w:t>Scenario 1: nH</w:t>
      </w:r>
      <w:r w:rsidRPr="00FB01A1">
        <w:rPr>
          <w:vertAlign w:val="subscript"/>
        </w:rPr>
        <w:t>2</w:t>
      </w:r>
      <w:r w:rsidRPr="00FB01A1">
        <w:t>=0;</w:t>
      </w:r>
    </w:p>
    <w:p w14:paraId="185ECC37" w14:textId="77777777" w:rsidR="00453E24" w:rsidRDefault="00FB01A1" w:rsidP="00453E24">
      <w:pPr>
        <w:pStyle w:val="CETListbullets"/>
        <w:numPr>
          <w:ilvl w:val="0"/>
          <w:numId w:val="13"/>
        </w:numPr>
      </w:pPr>
      <w:r w:rsidRPr="00FB01A1">
        <w:t>Scenario 2: nH</w:t>
      </w:r>
      <w:r w:rsidRPr="00FB01A1">
        <w:rPr>
          <w:vertAlign w:val="subscript"/>
        </w:rPr>
        <w:t>2</w:t>
      </w:r>
      <w:r w:rsidRPr="00FB01A1">
        <w:t>=100</w:t>
      </w:r>
      <w:r w:rsidR="00846F9B">
        <w:t>;</w:t>
      </w:r>
    </w:p>
    <w:p w14:paraId="07CD0DC2" w14:textId="77777777" w:rsidR="00FB01A1" w:rsidRDefault="00FB01A1" w:rsidP="00FB01A1">
      <w:pPr>
        <w:pStyle w:val="CETnumberingbullets"/>
      </w:pPr>
      <w:r w:rsidRPr="00FB01A1">
        <w:t>Scenario 3: nH</w:t>
      </w:r>
      <w:r w:rsidRPr="00FB01A1">
        <w:rPr>
          <w:vertAlign w:val="subscript"/>
        </w:rPr>
        <w:t>2</w:t>
      </w:r>
      <w:r w:rsidRPr="00FB01A1">
        <w:t>=200</w:t>
      </w:r>
      <w:r w:rsidR="00846F9B">
        <w:t>;</w:t>
      </w:r>
    </w:p>
    <w:p w14:paraId="609592A8" w14:textId="38ECBE2B" w:rsidR="00846F9B" w:rsidRPr="007139BF" w:rsidRDefault="00846F9B" w:rsidP="00846F9B">
      <w:pPr>
        <w:pStyle w:val="CETnumberingbullets"/>
        <w:rPr>
          <w:lang w:val="pt-BR"/>
        </w:rPr>
      </w:pPr>
      <w:r w:rsidRPr="007139BF">
        <w:rPr>
          <w:lang w:val="pt-BR"/>
        </w:rPr>
        <w:t>Scenario 4: nO</w:t>
      </w:r>
      <w:r w:rsidRPr="007139BF">
        <w:rPr>
          <w:rFonts w:ascii="Cambria Math" w:hAnsi="Cambria Math" w:cs="Cambria Math"/>
          <w:lang w:val="pt-BR"/>
        </w:rPr>
        <w:t>₂</w:t>
      </w:r>
      <w:r w:rsidRPr="007139BF">
        <w:rPr>
          <w:lang w:val="pt-BR"/>
        </w:rPr>
        <w:t xml:space="preserve"> </w:t>
      </w:r>
      <w:r w:rsidRPr="007139BF">
        <w:rPr>
          <w:rFonts w:cs="Arial"/>
          <w:lang w:val="pt-BR"/>
        </w:rPr>
        <w:t>≤</w:t>
      </w:r>
      <w:r w:rsidRPr="007139BF">
        <w:rPr>
          <w:lang w:val="pt-BR"/>
        </w:rPr>
        <w:t xml:space="preserve"> 5; nH</w:t>
      </w:r>
      <w:r w:rsidRPr="007139BF">
        <w:rPr>
          <w:rFonts w:ascii="Cambria Math" w:hAnsi="Cambria Math" w:cs="Cambria Math"/>
          <w:lang w:val="pt-BR"/>
        </w:rPr>
        <w:t>₂</w:t>
      </w:r>
      <w:r w:rsidRPr="007139BF">
        <w:rPr>
          <w:lang w:val="pt-BR"/>
        </w:rPr>
        <w:t xml:space="preserve">O </w:t>
      </w:r>
      <w:r w:rsidRPr="007139BF">
        <w:rPr>
          <w:rFonts w:cs="Arial"/>
          <w:lang w:val="pt-BR"/>
        </w:rPr>
        <w:t>≥</w:t>
      </w:r>
      <w:r w:rsidRPr="007139BF">
        <w:rPr>
          <w:lang w:val="pt-BR"/>
        </w:rPr>
        <w:t xml:space="preserve"> </w:t>
      </w:r>
      <w:r w:rsidRPr="00E9260C">
        <w:rPr>
          <w:lang w:val="pt-BR"/>
        </w:rPr>
        <w:t>30</w:t>
      </w:r>
      <w:r w:rsidR="00EE64B3" w:rsidRPr="007139BF">
        <w:rPr>
          <w:lang w:val="pt-BR"/>
        </w:rPr>
        <w:t>; nH</w:t>
      </w:r>
      <w:r w:rsidR="00EE64B3" w:rsidRPr="007139BF">
        <w:rPr>
          <w:vertAlign w:val="subscript"/>
          <w:lang w:val="pt-BR"/>
        </w:rPr>
        <w:t>2</w:t>
      </w:r>
      <w:r w:rsidR="00EE64B3" w:rsidRPr="007139BF">
        <w:rPr>
          <w:lang w:val="pt-BR"/>
        </w:rPr>
        <w:t>=100;</w:t>
      </w:r>
    </w:p>
    <w:p w14:paraId="6528264C" w14:textId="77777777" w:rsidR="00846F9B" w:rsidRPr="007139BF" w:rsidRDefault="00846F9B" w:rsidP="00846F9B">
      <w:pPr>
        <w:pStyle w:val="CETnumberingbullets"/>
        <w:rPr>
          <w:lang w:val="pt-BR"/>
        </w:rPr>
      </w:pPr>
      <w:r w:rsidRPr="007139BF">
        <w:rPr>
          <w:lang w:val="pt-BR"/>
        </w:rPr>
        <w:t>Scenario 5: nO</w:t>
      </w:r>
      <w:r w:rsidRPr="007139BF">
        <w:rPr>
          <w:rFonts w:ascii="Cambria Math" w:hAnsi="Cambria Math" w:cs="Cambria Math"/>
          <w:lang w:val="pt-BR"/>
        </w:rPr>
        <w:t>₂</w:t>
      </w:r>
      <w:r w:rsidRPr="007139BF">
        <w:rPr>
          <w:lang w:val="pt-BR"/>
        </w:rPr>
        <w:t xml:space="preserve"> </w:t>
      </w:r>
      <w:r w:rsidRPr="007139BF">
        <w:rPr>
          <w:rFonts w:cs="Arial"/>
          <w:lang w:val="pt-BR"/>
        </w:rPr>
        <w:t>≤</w:t>
      </w:r>
      <w:r w:rsidRPr="007139BF">
        <w:rPr>
          <w:lang w:val="pt-BR"/>
        </w:rPr>
        <w:t xml:space="preserve"> 10; nH</w:t>
      </w:r>
      <w:r w:rsidRPr="007139BF">
        <w:rPr>
          <w:rFonts w:ascii="Cambria Math" w:hAnsi="Cambria Math" w:cs="Cambria Math"/>
          <w:lang w:val="pt-BR"/>
        </w:rPr>
        <w:t>₂</w:t>
      </w:r>
      <w:r w:rsidRPr="007139BF">
        <w:rPr>
          <w:lang w:val="pt-BR"/>
        </w:rPr>
        <w:t xml:space="preserve">O </w:t>
      </w:r>
      <w:r w:rsidRPr="007139BF">
        <w:rPr>
          <w:rFonts w:cs="Arial"/>
          <w:lang w:val="pt-BR"/>
        </w:rPr>
        <w:t>≥</w:t>
      </w:r>
      <w:r w:rsidRPr="007139BF">
        <w:rPr>
          <w:lang w:val="pt-BR"/>
        </w:rPr>
        <w:t xml:space="preserve"> 30</w:t>
      </w:r>
      <w:r w:rsidR="00EE64B3" w:rsidRPr="007139BF">
        <w:rPr>
          <w:lang w:val="pt-BR"/>
        </w:rPr>
        <w:t>; nH</w:t>
      </w:r>
      <w:r w:rsidR="00EE64B3" w:rsidRPr="007139BF">
        <w:rPr>
          <w:vertAlign w:val="subscript"/>
          <w:lang w:val="pt-BR"/>
        </w:rPr>
        <w:t>2</w:t>
      </w:r>
      <w:r w:rsidR="00EE64B3" w:rsidRPr="007139BF">
        <w:rPr>
          <w:lang w:val="pt-BR"/>
        </w:rPr>
        <w:t>=100;</w:t>
      </w:r>
    </w:p>
    <w:p w14:paraId="505227B2" w14:textId="77777777" w:rsidR="00846F9B" w:rsidRPr="007139BF" w:rsidRDefault="00846F9B" w:rsidP="00846F9B">
      <w:pPr>
        <w:pStyle w:val="CETnumberingbullets"/>
        <w:rPr>
          <w:lang w:val="pt-BR"/>
        </w:rPr>
      </w:pPr>
      <w:r w:rsidRPr="007139BF">
        <w:rPr>
          <w:lang w:val="pt-BR"/>
        </w:rPr>
        <w:t>Scenario 6: nO</w:t>
      </w:r>
      <w:r w:rsidRPr="007139BF">
        <w:rPr>
          <w:rFonts w:ascii="Cambria Math" w:hAnsi="Cambria Math" w:cs="Cambria Math"/>
          <w:lang w:val="pt-BR"/>
        </w:rPr>
        <w:t>₂</w:t>
      </w:r>
      <w:r w:rsidRPr="007139BF">
        <w:rPr>
          <w:lang w:val="pt-BR"/>
        </w:rPr>
        <w:t xml:space="preserve"> </w:t>
      </w:r>
      <w:r w:rsidRPr="007139BF">
        <w:rPr>
          <w:rFonts w:cs="Arial"/>
          <w:lang w:val="pt-BR"/>
        </w:rPr>
        <w:t>≤</w:t>
      </w:r>
      <w:r w:rsidRPr="007139BF">
        <w:rPr>
          <w:lang w:val="pt-BR"/>
        </w:rPr>
        <w:t xml:space="preserve"> 15; nH</w:t>
      </w:r>
      <w:r w:rsidRPr="007139BF">
        <w:rPr>
          <w:rFonts w:ascii="Cambria Math" w:hAnsi="Cambria Math" w:cs="Cambria Math"/>
          <w:lang w:val="pt-BR"/>
        </w:rPr>
        <w:t>₂</w:t>
      </w:r>
      <w:r w:rsidRPr="007139BF">
        <w:rPr>
          <w:lang w:val="pt-BR"/>
        </w:rPr>
        <w:t xml:space="preserve">O </w:t>
      </w:r>
      <w:r w:rsidRPr="007139BF">
        <w:rPr>
          <w:rFonts w:cs="Arial"/>
          <w:lang w:val="pt-BR"/>
        </w:rPr>
        <w:t>≥</w:t>
      </w:r>
      <w:r w:rsidRPr="007139BF">
        <w:rPr>
          <w:lang w:val="pt-BR"/>
        </w:rPr>
        <w:t xml:space="preserve"> 30</w:t>
      </w:r>
      <w:r w:rsidR="00EE64B3" w:rsidRPr="007139BF">
        <w:rPr>
          <w:lang w:val="pt-BR"/>
        </w:rPr>
        <w:t>; nH</w:t>
      </w:r>
      <w:r w:rsidR="00EE64B3" w:rsidRPr="007139BF">
        <w:rPr>
          <w:vertAlign w:val="subscript"/>
          <w:lang w:val="pt-BR"/>
        </w:rPr>
        <w:t>2</w:t>
      </w:r>
      <w:r w:rsidR="00EE64B3" w:rsidRPr="007139BF">
        <w:rPr>
          <w:lang w:val="pt-BR"/>
        </w:rPr>
        <w:t>=100;</w:t>
      </w:r>
    </w:p>
    <w:p w14:paraId="7AC9BBB1" w14:textId="77777777" w:rsidR="00846F9B" w:rsidRPr="007139BF" w:rsidRDefault="00846F9B" w:rsidP="00846F9B">
      <w:pPr>
        <w:pStyle w:val="CETnumberingbullets"/>
        <w:rPr>
          <w:lang w:val="pt-BR"/>
        </w:rPr>
      </w:pPr>
      <w:r w:rsidRPr="007139BF">
        <w:rPr>
          <w:lang w:val="pt-BR"/>
        </w:rPr>
        <w:t>Scenario 7: nN</w:t>
      </w:r>
      <w:r w:rsidRPr="007139BF">
        <w:rPr>
          <w:rFonts w:ascii="Cambria Math" w:hAnsi="Cambria Math" w:cs="Cambria Math"/>
          <w:lang w:val="pt-BR"/>
        </w:rPr>
        <w:t>₂</w:t>
      </w:r>
      <w:r w:rsidRPr="007139BF">
        <w:rPr>
          <w:lang w:val="pt-BR"/>
        </w:rPr>
        <w:t xml:space="preserve"> </w:t>
      </w:r>
      <w:r w:rsidRPr="007139BF">
        <w:rPr>
          <w:rFonts w:cs="Arial"/>
          <w:lang w:val="pt-BR"/>
        </w:rPr>
        <w:t>≥</w:t>
      </w:r>
      <w:r w:rsidRPr="007139BF">
        <w:rPr>
          <w:lang w:val="pt-BR"/>
        </w:rPr>
        <w:t xml:space="preserve"> 5; nH</w:t>
      </w:r>
      <w:r w:rsidRPr="007139BF">
        <w:rPr>
          <w:rFonts w:ascii="Cambria Math" w:hAnsi="Cambria Math" w:cs="Cambria Math"/>
          <w:lang w:val="pt-BR"/>
        </w:rPr>
        <w:t>₂</w:t>
      </w:r>
      <w:r w:rsidRPr="007139BF">
        <w:rPr>
          <w:lang w:val="pt-BR"/>
        </w:rPr>
        <w:t xml:space="preserve">O </w:t>
      </w:r>
      <w:r w:rsidRPr="007139BF">
        <w:rPr>
          <w:rFonts w:cs="Arial"/>
          <w:lang w:val="pt-BR"/>
        </w:rPr>
        <w:t>≥</w:t>
      </w:r>
      <w:r w:rsidRPr="007139BF">
        <w:rPr>
          <w:lang w:val="pt-BR"/>
        </w:rPr>
        <w:t xml:space="preserve"> 50</w:t>
      </w:r>
      <w:r w:rsidR="00EE64B3" w:rsidRPr="007139BF">
        <w:rPr>
          <w:lang w:val="pt-BR"/>
        </w:rPr>
        <w:t>; nH</w:t>
      </w:r>
      <w:r w:rsidR="00EE64B3" w:rsidRPr="007139BF">
        <w:rPr>
          <w:vertAlign w:val="subscript"/>
          <w:lang w:val="pt-BR"/>
        </w:rPr>
        <w:t>2</w:t>
      </w:r>
      <w:r w:rsidR="00EE64B3" w:rsidRPr="007139BF">
        <w:rPr>
          <w:lang w:val="pt-BR"/>
        </w:rPr>
        <w:t>=200;</w:t>
      </w:r>
    </w:p>
    <w:p w14:paraId="283261F3" w14:textId="77777777" w:rsidR="00846F9B" w:rsidRPr="007139BF" w:rsidRDefault="00846F9B" w:rsidP="00846F9B">
      <w:pPr>
        <w:pStyle w:val="CETnumberingbullets"/>
        <w:rPr>
          <w:lang w:val="pt-BR"/>
        </w:rPr>
      </w:pPr>
      <w:r w:rsidRPr="007139BF">
        <w:rPr>
          <w:lang w:val="pt-BR"/>
        </w:rPr>
        <w:t>Scenario 8: nN</w:t>
      </w:r>
      <w:r w:rsidRPr="007139BF">
        <w:rPr>
          <w:rFonts w:ascii="Cambria Math" w:hAnsi="Cambria Math" w:cs="Cambria Math"/>
          <w:lang w:val="pt-BR"/>
        </w:rPr>
        <w:t>₂</w:t>
      </w:r>
      <w:r w:rsidRPr="007139BF">
        <w:rPr>
          <w:lang w:val="pt-BR"/>
        </w:rPr>
        <w:t xml:space="preserve"> </w:t>
      </w:r>
      <w:r w:rsidRPr="007139BF">
        <w:rPr>
          <w:rFonts w:cs="Arial"/>
          <w:lang w:val="pt-BR"/>
        </w:rPr>
        <w:t>≥</w:t>
      </w:r>
      <w:r w:rsidRPr="007139BF">
        <w:rPr>
          <w:lang w:val="pt-BR"/>
        </w:rPr>
        <w:t xml:space="preserve"> </w:t>
      </w:r>
      <w:r w:rsidR="0013700E" w:rsidRPr="007139BF">
        <w:rPr>
          <w:lang w:val="pt-BR"/>
        </w:rPr>
        <w:t>1</w:t>
      </w:r>
      <w:r w:rsidRPr="007139BF">
        <w:rPr>
          <w:lang w:val="pt-BR"/>
        </w:rPr>
        <w:t>0; nH</w:t>
      </w:r>
      <w:r w:rsidRPr="007139BF">
        <w:rPr>
          <w:rFonts w:ascii="Cambria Math" w:hAnsi="Cambria Math" w:cs="Cambria Math"/>
          <w:lang w:val="pt-BR"/>
        </w:rPr>
        <w:t>₂</w:t>
      </w:r>
      <w:r w:rsidRPr="007139BF">
        <w:rPr>
          <w:lang w:val="pt-BR"/>
        </w:rPr>
        <w:t xml:space="preserve">O </w:t>
      </w:r>
      <w:r w:rsidRPr="007139BF">
        <w:rPr>
          <w:rFonts w:cs="Arial"/>
          <w:lang w:val="pt-BR"/>
        </w:rPr>
        <w:t>≥</w:t>
      </w:r>
      <w:r w:rsidRPr="007139BF">
        <w:rPr>
          <w:lang w:val="pt-BR"/>
        </w:rPr>
        <w:t xml:space="preserve"> </w:t>
      </w:r>
      <w:r w:rsidR="0013700E" w:rsidRPr="007139BF">
        <w:rPr>
          <w:lang w:val="pt-BR"/>
        </w:rPr>
        <w:t>3</w:t>
      </w:r>
      <w:r w:rsidRPr="007139BF">
        <w:rPr>
          <w:lang w:val="pt-BR"/>
        </w:rPr>
        <w:t>0</w:t>
      </w:r>
      <w:r w:rsidR="00EE64B3" w:rsidRPr="007139BF">
        <w:rPr>
          <w:lang w:val="pt-BR"/>
        </w:rPr>
        <w:t>; nH</w:t>
      </w:r>
      <w:r w:rsidR="00EE64B3" w:rsidRPr="007139BF">
        <w:rPr>
          <w:vertAlign w:val="subscript"/>
          <w:lang w:val="pt-BR"/>
        </w:rPr>
        <w:t>2</w:t>
      </w:r>
      <w:r w:rsidR="00EE64B3" w:rsidRPr="007139BF">
        <w:rPr>
          <w:lang w:val="pt-BR"/>
        </w:rPr>
        <w:t>=200.</w:t>
      </w:r>
    </w:p>
    <w:p w14:paraId="2FE46971" w14:textId="77777777" w:rsidR="00C47894" w:rsidRPr="007139BF" w:rsidRDefault="00C47894" w:rsidP="00ED2553">
      <w:pPr>
        <w:pStyle w:val="CETnumberingbullets"/>
        <w:numPr>
          <w:ilvl w:val="0"/>
          <w:numId w:val="0"/>
        </w:numPr>
        <w:rPr>
          <w:lang w:val="pt-BR"/>
        </w:rPr>
      </w:pPr>
    </w:p>
    <w:p w14:paraId="68ADD66F" w14:textId="77777777" w:rsidR="00600535" w:rsidRDefault="00501BC2" w:rsidP="00600535">
      <w:pPr>
        <w:pStyle w:val="CETHeading1"/>
        <w:tabs>
          <w:tab w:val="clear" w:pos="360"/>
          <w:tab w:val="right" w:pos="7100"/>
        </w:tabs>
        <w:jc w:val="both"/>
        <w:rPr>
          <w:lang w:val="en-GB"/>
        </w:rPr>
      </w:pPr>
      <w:r w:rsidRPr="00501BC2">
        <w:rPr>
          <w:lang w:val="en-GB"/>
        </w:rPr>
        <w:t>Result and Discussion</w:t>
      </w:r>
    </w:p>
    <w:p w14:paraId="70085DFA" w14:textId="77777777" w:rsidR="00065BCD" w:rsidRDefault="000362F2" w:rsidP="00501BC2">
      <w:pPr>
        <w:pStyle w:val="CETBodytext"/>
        <w:rPr>
          <w:lang w:val="en-GB"/>
        </w:rPr>
      </w:pPr>
      <w:r w:rsidRPr="000362F2">
        <w:rPr>
          <w:lang w:val="en-GB"/>
        </w:rPr>
        <w:t xml:space="preserve">Table </w:t>
      </w:r>
      <w:r w:rsidR="00681263">
        <w:rPr>
          <w:lang w:val="en-GB"/>
        </w:rPr>
        <w:t>2</w:t>
      </w:r>
      <w:r w:rsidRPr="000362F2">
        <w:rPr>
          <w:lang w:val="en-GB"/>
        </w:rPr>
        <w:t xml:space="preserve"> summarizes the enthalpy variation and selling price obtained for each optimization scenario. The detailed molar composition of reactants and products is presented in Table </w:t>
      </w:r>
      <w:r w:rsidR="00681263">
        <w:rPr>
          <w:lang w:val="en-GB"/>
        </w:rPr>
        <w:t>3</w:t>
      </w:r>
      <w:r w:rsidRPr="000362F2">
        <w:rPr>
          <w:lang w:val="en-GB"/>
        </w:rPr>
        <w:t>.</w:t>
      </w:r>
    </w:p>
    <w:p w14:paraId="0C0A311E" w14:textId="77777777" w:rsidR="000362F2" w:rsidRPr="00B57B36" w:rsidRDefault="000362F2" w:rsidP="000362F2">
      <w:pPr>
        <w:pStyle w:val="CETTabletitle"/>
      </w:pPr>
      <w:r w:rsidRPr="000362F2">
        <w:t xml:space="preserve">Table </w:t>
      </w:r>
      <w:r w:rsidR="00681263">
        <w:t>2</w:t>
      </w:r>
      <w:r w:rsidRPr="000362F2">
        <w:t xml:space="preserve">: </w:t>
      </w:r>
      <w:r w:rsidR="00681263">
        <w:t>G</w:t>
      </w:r>
      <w:r w:rsidR="00681263" w:rsidRPr="00681263">
        <w:t xml:space="preserve">lobal enthalpy and </w:t>
      </w:r>
      <w:r w:rsidR="00681263">
        <w:t xml:space="preserve">final </w:t>
      </w:r>
      <w:r w:rsidR="00681263" w:rsidRPr="00681263">
        <w:t xml:space="preserve">selling price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418"/>
        <w:gridCol w:w="1276"/>
      </w:tblGrid>
      <w:tr w:rsidR="000362F2" w:rsidRPr="00B57B36" w14:paraId="013352E9" w14:textId="77777777" w:rsidTr="00732098">
        <w:tc>
          <w:tcPr>
            <w:tcW w:w="1134" w:type="dxa"/>
            <w:tcBorders>
              <w:top w:val="single" w:sz="12" w:space="0" w:color="008000"/>
              <w:bottom w:val="single" w:sz="6" w:space="0" w:color="008000"/>
            </w:tcBorders>
            <w:shd w:val="clear" w:color="auto" w:fill="FFFFFF"/>
          </w:tcPr>
          <w:p w14:paraId="7E0AF195" w14:textId="77777777" w:rsidR="000362F2" w:rsidRPr="00B57B36" w:rsidRDefault="000362F2" w:rsidP="00732098">
            <w:pPr>
              <w:pStyle w:val="CETBodytext"/>
              <w:rPr>
                <w:lang w:val="en-GB"/>
              </w:rPr>
            </w:pPr>
            <w:r w:rsidRPr="00E67DC8">
              <w:rPr>
                <w:lang w:val="en-GB"/>
              </w:rPr>
              <w:t>Scenario</w:t>
            </w:r>
            <w:r w:rsidRPr="00B57B36">
              <w:rPr>
                <w:lang w:val="en-GB"/>
              </w:rPr>
              <w:t xml:space="preserve"> </w:t>
            </w:r>
          </w:p>
        </w:tc>
        <w:tc>
          <w:tcPr>
            <w:tcW w:w="1418" w:type="dxa"/>
            <w:tcBorders>
              <w:top w:val="single" w:sz="12" w:space="0" w:color="008000"/>
              <w:bottom w:val="single" w:sz="6" w:space="0" w:color="008000"/>
            </w:tcBorders>
            <w:shd w:val="clear" w:color="auto" w:fill="FFFFFF"/>
          </w:tcPr>
          <w:p w14:paraId="04E2EF59" w14:textId="77777777" w:rsidR="000362F2" w:rsidRPr="00B57B36" w:rsidRDefault="000362F2" w:rsidP="005852E3">
            <w:pPr>
              <w:pStyle w:val="CETBodytext"/>
              <w:ind w:right="57"/>
              <w:jc w:val="right"/>
              <w:rPr>
                <w:lang w:val="en-GB"/>
              </w:rPr>
            </w:pPr>
            <w:r>
              <w:rPr>
                <w:lang w:val="en-GB"/>
              </w:rPr>
              <w:t>E</w:t>
            </w:r>
            <w:r w:rsidRPr="00AF26D4">
              <w:rPr>
                <w:lang w:val="en-GB"/>
              </w:rPr>
              <w:t>nthalpy</w:t>
            </w:r>
            <w:r>
              <w:rPr>
                <w:lang w:val="en-GB"/>
              </w:rPr>
              <w:t xml:space="preserve"> </w:t>
            </w:r>
            <w:r>
              <w:rPr>
                <w:rFonts w:ascii="Calibri" w:hAnsi="Calibri" w:cs="Calibri"/>
                <w:lang w:val="en-GB"/>
              </w:rPr>
              <w:t>∆</w:t>
            </w:r>
            <w:r>
              <w:rPr>
                <w:lang w:val="en-GB"/>
              </w:rPr>
              <w:t>H (</w:t>
            </w:r>
            <w:r w:rsidR="00691A11">
              <w:rPr>
                <w:lang w:val="en-GB"/>
              </w:rPr>
              <w:t>kJ</w:t>
            </w:r>
            <w:r>
              <w:rPr>
                <w:lang w:val="en-GB"/>
              </w:rPr>
              <w:t>)</w:t>
            </w:r>
          </w:p>
        </w:tc>
        <w:tc>
          <w:tcPr>
            <w:tcW w:w="1276" w:type="dxa"/>
            <w:tcBorders>
              <w:top w:val="single" w:sz="12" w:space="0" w:color="008000"/>
              <w:bottom w:val="single" w:sz="6" w:space="0" w:color="008000"/>
            </w:tcBorders>
            <w:shd w:val="clear" w:color="auto" w:fill="FFFFFF"/>
          </w:tcPr>
          <w:p w14:paraId="1104D385" w14:textId="77777777" w:rsidR="000362F2" w:rsidRPr="00B57B36" w:rsidRDefault="000362F2" w:rsidP="00CD615A">
            <w:pPr>
              <w:pStyle w:val="CETBodytext"/>
              <w:jc w:val="right"/>
              <w:rPr>
                <w:lang w:val="en-GB"/>
              </w:rPr>
            </w:pPr>
            <w:r>
              <w:rPr>
                <w:lang w:val="en-GB"/>
              </w:rPr>
              <w:t>S</w:t>
            </w:r>
            <w:r w:rsidRPr="00AF26D4">
              <w:rPr>
                <w:lang w:val="en-GB"/>
              </w:rPr>
              <w:t>elling price</w:t>
            </w:r>
          </w:p>
        </w:tc>
      </w:tr>
      <w:tr w:rsidR="000362F2" w:rsidRPr="00B57B36" w14:paraId="44E73864" w14:textId="77777777" w:rsidTr="00732098">
        <w:tc>
          <w:tcPr>
            <w:tcW w:w="1134" w:type="dxa"/>
            <w:shd w:val="clear" w:color="auto" w:fill="FFFFFF"/>
          </w:tcPr>
          <w:p w14:paraId="290073F6" w14:textId="77777777" w:rsidR="000362F2" w:rsidRPr="00B57B36" w:rsidRDefault="000362F2" w:rsidP="00732098">
            <w:pPr>
              <w:pStyle w:val="CETBodytext"/>
              <w:rPr>
                <w:lang w:val="en-GB"/>
              </w:rPr>
            </w:pPr>
            <w:r>
              <w:rPr>
                <w:lang w:val="en-GB"/>
              </w:rPr>
              <w:t>1</w:t>
            </w:r>
          </w:p>
        </w:tc>
        <w:tc>
          <w:tcPr>
            <w:tcW w:w="1418" w:type="dxa"/>
            <w:shd w:val="clear" w:color="auto" w:fill="FFFFFF"/>
          </w:tcPr>
          <w:p w14:paraId="116D6A81" w14:textId="77777777" w:rsidR="000362F2" w:rsidRPr="00B57B36" w:rsidRDefault="000362F2" w:rsidP="005852E3">
            <w:pPr>
              <w:pStyle w:val="CETBodytext"/>
              <w:ind w:right="57"/>
              <w:jc w:val="right"/>
              <w:rPr>
                <w:lang w:val="en-GB"/>
              </w:rPr>
            </w:pPr>
            <w:r>
              <w:rPr>
                <w:lang w:val="en-GB"/>
              </w:rPr>
              <w:t>-13,370</w:t>
            </w:r>
          </w:p>
        </w:tc>
        <w:tc>
          <w:tcPr>
            <w:tcW w:w="1276" w:type="dxa"/>
            <w:shd w:val="clear" w:color="auto" w:fill="FFFFFF"/>
          </w:tcPr>
          <w:p w14:paraId="2D9B9671" w14:textId="77777777" w:rsidR="000362F2" w:rsidRPr="00B57B36" w:rsidRDefault="000362F2" w:rsidP="00D35F47">
            <w:pPr>
              <w:pStyle w:val="CETBodytext"/>
              <w:jc w:val="right"/>
              <w:rPr>
                <w:lang w:val="en-GB"/>
              </w:rPr>
            </w:pPr>
            <w:r>
              <w:rPr>
                <w:lang w:val="en-GB"/>
              </w:rPr>
              <w:t>21,146</w:t>
            </w:r>
          </w:p>
        </w:tc>
      </w:tr>
      <w:tr w:rsidR="000362F2" w:rsidRPr="00B57B36" w14:paraId="51BB55E2" w14:textId="77777777" w:rsidTr="00732098">
        <w:tc>
          <w:tcPr>
            <w:tcW w:w="1134" w:type="dxa"/>
            <w:shd w:val="clear" w:color="auto" w:fill="FFFFFF"/>
          </w:tcPr>
          <w:p w14:paraId="756B3386" w14:textId="77777777" w:rsidR="000362F2" w:rsidRPr="00B57B36" w:rsidRDefault="000362F2" w:rsidP="00732098">
            <w:pPr>
              <w:pStyle w:val="CETBodytext"/>
              <w:ind w:right="-1"/>
              <w:rPr>
                <w:rFonts w:cs="Arial"/>
                <w:szCs w:val="18"/>
                <w:lang w:val="en-GB"/>
              </w:rPr>
            </w:pPr>
            <w:r>
              <w:rPr>
                <w:rFonts w:cs="Arial"/>
                <w:szCs w:val="18"/>
                <w:lang w:val="en-GB"/>
              </w:rPr>
              <w:t>2</w:t>
            </w:r>
          </w:p>
        </w:tc>
        <w:tc>
          <w:tcPr>
            <w:tcW w:w="1418" w:type="dxa"/>
            <w:shd w:val="clear" w:color="auto" w:fill="FFFFFF"/>
          </w:tcPr>
          <w:p w14:paraId="2CA48016" w14:textId="77777777" w:rsidR="000362F2" w:rsidRPr="00B57B36" w:rsidRDefault="000362F2" w:rsidP="005852E3">
            <w:pPr>
              <w:pStyle w:val="CETBodytext"/>
              <w:ind w:right="57"/>
              <w:jc w:val="right"/>
              <w:rPr>
                <w:rFonts w:cs="Arial"/>
                <w:szCs w:val="18"/>
                <w:lang w:val="en-GB"/>
              </w:rPr>
            </w:pPr>
            <w:r>
              <w:rPr>
                <w:rFonts w:cs="Arial"/>
                <w:szCs w:val="18"/>
                <w:lang w:val="en-GB"/>
              </w:rPr>
              <w:t>-18,600</w:t>
            </w:r>
          </w:p>
        </w:tc>
        <w:tc>
          <w:tcPr>
            <w:tcW w:w="1276" w:type="dxa"/>
            <w:shd w:val="clear" w:color="auto" w:fill="FFFFFF"/>
          </w:tcPr>
          <w:p w14:paraId="3DD28EC1" w14:textId="77777777" w:rsidR="000362F2" w:rsidRPr="00B57B36" w:rsidRDefault="000362F2" w:rsidP="00D35F47">
            <w:pPr>
              <w:pStyle w:val="CETBodytext"/>
              <w:ind w:right="-1"/>
              <w:jc w:val="right"/>
              <w:rPr>
                <w:rFonts w:cs="Arial"/>
                <w:szCs w:val="18"/>
                <w:lang w:val="en-GB"/>
              </w:rPr>
            </w:pPr>
            <w:r>
              <w:rPr>
                <w:rFonts w:cs="Arial"/>
                <w:szCs w:val="18"/>
                <w:lang w:val="en-GB"/>
              </w:rPr>
              <w:t>30,960</w:t>
            </w:r>
          </w:p>
        </w:tc>
      </w:tr>
      <w:tr w:rsidR="000362F2" w:rsidRPr="00B57B36" w14:paraId="7BE56802" w14:textId="77777777" w:rsidTr="00732098">
        <w:tc>
          <w:tcPr>
            <w:tcW w:w="1134" w:type="dxa"/>
            <w:shd w:val="clear" w:color="auto" w:fill="FFFFFF"/>
          </w:tcPr>
          <w:p w14:paraId="1ADA9BCA" w14:textId="77777777" w:rsidR="000362F2" w:rsidRPr="00B57B36" w:rsidRDefault="000362F2" w:rsidP="00732098">
            <w:pPr>
              <w:pStyle w:val="CETBodytext"/>
              <w:ind w:right="-1"/>
              <w:rPr>
                <w:rFonts w:cs="Arial"/>
                <w:szCs w:val="18"/>
                <w:lang w:val="en-GB"/>
              </w:rPr>
            </w:pPr>
            <w:r>
              <w:rPr>
                <w:rFonts w:cs="Arial"/>
                <w:szCs w:val="18"/>
                <w:lang w:val="en-GB"/>
              </w:rPr>
              <w:t>3</w:t>
            </w:r>
          </w:p>
        </w:tc>
        <w:tc>
          <w:tcPr>
            <w:tcW w:w="1418" w:type="dxa"/>
            <w:shd w:val="clear" w:color="auto" w:fill="FFFFFF"/>
          </w:tcPr>
          <w:p w14:paraId="4F97624F" w14:textId="77777777" w:rsidR="000362F2" w:rsidRPr="00B57B36" w:rsidRDefault="000362F2" w:rsidP="005852E3">
            <w:pPr>
              <w:pStyle w:val="CETBodytext"/>
              <w:ind w:right="57"/>
              <w:jc w:val="right"/>
              <w:rPr>
                <w:rFonts w:cs="Arial"/>
                <w:szCs w:val="18"/>
                <w:lang w:val="en-GB"/>
              </w:rPr>
            </w:pPr>
            <w:r>
              <w:rPr>
                <w:rFonts w:cs="Arial"/>
                <w:szCs w:val="18"/>
                <w:lang w:val="en-GB"/>
              </w:rPr>
              <w:t>0.00</w:t>
            </w:r>
          </w:p>
        </w:tc>
        <w:tc>
          <w:tcPr>
            <w:tcW w:w="1276" w:type="dxa"/>
            <w:shd w:val="clear" w:color="auto" w:fill="FFFFFF"/>
          </w:tcPr>
          <w:p w14:paraId="7DA346F0" w14:textId="77777777" w:rsidR="000362F2" w:rsidRPr="00B57B36" w:rsidRDefault="000362F2" w:rsidP="00D35F47">
            <w:pPr>
              <w:pStyle w:val="CETBodytext"/>
              <w:ind w:right="-1"/>
              <w:jc w:val="right"/>
              <w:rPr>
                <w:rFonts w:cs="Arial"/>
                <w:szCs w:val="18"/>
                <w:lang w:val="en-GB"/>
              </w:rPr>
            </w:pPr>
            <w:r>
              <w:rPr>
                <w:rFonts w:cs="Arial"/>
                <w:szCs w:val="18"/>
                <w:lang w:val="en-GB"/>
              </w:rPr>
              <w:t>27,882</w:t>
            </w:r>
          </w:p>
        </w:tc>
      </w:tr>
      <w:tr w:rsidR="000362F2" w:rsidRPr="00B57B36" w14:paraId="2DC3CD8D" w14:textId="77777777" w:rsidTr="00732098">
        <w:tc>
          <w:tcPr>
            <w:tcW w:w="1134" w:type="dxa"/>
            <w:shd w:val="clear" w:color="auto" w:fill="FFFFFF"/>
          </w:tcPr>
          <w:p w14:paraId="2AD41AA0" w14:textId="77777777" w:rsidR="000362F2" w:rsidRPr="00B57B36" w:rsidRDefault="000362F2" w:rsidP="00732098">
            <w:pPr>
              <w:pStyle w:val="CETBodytext"/>
              <w:ind w:right="-1"/>
              <w:rPr>
                <w:rFonts w:cs="Arial"/>
                <w:szCs w:val="18"/>
                <w:lang w:val="en-GB"/>
              </w:rPr>
            </w:pPr>
            <w:r>
              <w:rPr>
                <w:rFonts w:cs="Arial"/>
                <w:szCs w:val="18"/>
                <w:lang w:val="en-GB"/>
              </w:rPr>
              <w:t>4</w:t>
            </w:r>
          </w:p>
        </w:tc>
        <w:tc>
          <w:tcPr>
            <w:tcW w:w="1418" w:type="dxa"/>
            <w:shd w:val="clear" w:color="auto" w:fill="FFFFFF"/>
          </w:tcPr>
          <w:p w14:paraId="260E3661" w14:textId="77777777" w:rsidR="000362F2" w:rsidRPr="00B57B36" w:rsidRDefault="000362F2" w:rsidP="005852E3">
            <w:pPr>
              <w:pStyle w:val="CETBodytext"/>
              <w:ind w:right="57"/>
              <w:jc w:val="right"/>
              <w:rPr>
                <w:rFonts w:cs="Arial"/>
                <w:szCs w:val="18"/>
                <w:lang w:val="en-GB"/>
              </w:rPr>
            </w:pPr>
            <w:r>
              <w:rPr>
                <w:rFonts w:cs="Arial"/>
                <w:szCs w:val="18"/>
                <w:lang w:val="en-GB"/>
              </w:rPr>
              <w:t>0.00</w:t>
            </w:r>
          </w:p>
        </w:tc>
        <w:tc>
          <w:tcPr>
            <w:tcW w:w="1276" w:type="dxa"/>
            <w:shd w:val="clear" w:color="auto" w:fill="FFFFFF"/>
          </w:tcPr>
          <w:p w14:paraId="0A49014E" w14:textId="77777777" w:rsidR="000362F2" w:rsidRPr="00B57B36" w:rsidRDefault="000362F2" w:rsidP="00D35F47">
            <w:pPr>
              <w:pStyle w:val="CETBodytext"/>
              <w:ind w:right="-1"/>
              <w:jc w:val="right"/>
              <w:rPr>
                <w:rFonts w:cs="Arial"/>
                <w:szCs w:val="18"/>
                <w:lang w:val="en-GB"/>
              </w:rPr>
            </w:pPr>
            <w:r>
              <w:rPr>
                <w:rFonts w:cs="Arial"/>
                <w:szCs w:val="18"/>
                <w:lang w:val="en-GB"/>
              </w:rPr>
              <w:t>8,968</w:t>
            </w:r>
          </w:p>
        </w:tc>
      </w:tr>
      <w:tr w:rsidR="000362F2" w:rsidRPr="00B57B36" w14:paraId="28876D64" w14:textId="77777777" w:rsidTr="00732098">
        <w:tc>
          <w:tcPr>
            <w:tcW w:w="1134" w:type="dxa"/>
            <w:shd w:val="clear" w:color="auto" w:fill="FFFFFF"/>
          </w:tcPr>
          <w:p w14:paraId="4BB16740" w14:textId="77777777" w:rsidR="000362F2" w:rsidRPr="00B57B36" w:rsidRDefault="000362F2" w:rsidP="00732098">
            <w:pPr>
              <w:pStyle w:val="CETBodytext"/>
              <w:ind w:right="-1"/>
              <w:rPr>
                <w:rFonts w:cs="Arial"/>
                <w:szCs w:val="18"/>
                <w:lang w:val="en-GB"/>
              </w:rPr>
            </w:pPr>
            <w:r>
              <w:rPr>
                <w:rFonts w:cs="Arial"/>
                <w:szCs w:val="18"/>
                <w:lang w:val="en-GB"/>
              </w:rPr>
              <w:t>5</w:t>
            </w:r>
          </w:p>
        </w:tc>
        <w:tc>
          <w:tcPr>
            <w:tcW w:w="1418" w:type="dxa"/>
            <w:shd w:val="clear" w:color="auto" w:fill="FFFFFF"/>
          </w:tcPr>
          <w:p w14:paraId="6FD2D199" w14:textId="77777777" w:rsidR="000362F2" w:rsidRPr="00B57B36" w:rsidRDefault="000362F2" w:rsidP="005852E3">
            <w:pPr>
              <w:pStyle w:val="CETBodytext"/>
              <w:ind w:right="57"/>
              <w:jc w:val="right"/>
              <w:rPr>
                <w:rFonts w:cs="Arial"/>
                <w:szCs w:val="18"/>
                <w:lang w:val="en-GB"/>
              </w:rPr>
            </w:pPr>
            <w:r>
              <w:rPr>
                <w:rFonts w:cs="Arial"/>
                <w:szCs w:val="18"/>
                <w:lang w:val="en-GB"/>
              </w:rPr>
              <w:t>0.00</w:t>
            </w:r>
          </w:p>
        </w:tc>
        <w:tc>
          <w:tcPr>
            <w:tcW w:w="1276" w:type="dxa"/>
            <w:shd w:val="clear" w:color="auto" w:fill="FFFFFF"/>
          </w:tcPr>
          <w:p w14:paraId="05BFC223" w14:textId="77777777" w:rsidR="000362F2" w:rsidRPr="00B57B36" w:rsidRDefault="000362F2" w:rsidP="00D35F47">
            <w:pPr>
              <w:pStyle w:val="CETBodytext"/>
              <w:ind w:right="-1"/>
              <w:jc w:val="right"/>
              <w:rPr>
                <w:rFonts w:cs="Arial"/>
                <w:szCs w:val="18"/>
                <w:lang w:val="en-GB"/>
              </w:rPr>
            </w:pPr>
            <w:r>
              <w:rPr>
                <w:rFonts w:cs="Arial"/>
                <w:szCs w:val="18"/>
                <w:lang w:val="en-GB"/>
              </w:rPr>
              <w:t>13,297</w:t>
            </w:r>
          </w:p>
        </w:tc>
      </w:tr>
      <w:tr w:rsidR="000362F2" w:rsidRPr="00B57B36" w14:paraId="541BAF7A" w14:textId="77777777" w:rsidTr="00732098">
        <w:tc>
          <w:tcPr>
            <w:tcW w:w="1134" w:type="dxa"/>
            <w:shd w:val="clear" w:color="auto" w:fill="FFFFFF"/>
          </w:tcPr>
          <w:p w14:paraId="6E7C6367" w14:textId="77777777" w:rsidR="000362F2" w:rsidRPr="00B57B36" w:rsidRDefault="000362F2" w:rsidP="00732098">
            <w:pPr>
              <w:pStyle w:val="CETBodytext"/>
              <w:ind w:right="-1"/>
              <w:rPr>
                <w:rFonts w:cs="Arial"/>
                <w:szCs w:val="18"/>
                <w:lang w:val="en-GB"/>
              </w:rPr>
            </w:pPr>
            <w:r>
              <w:rPr>
                <w:rFonts w:cs="Arial"/>
                <w:szCs w:val="18"/>
                <w:lang w:val="en-GB"/>
              </w:rPr>
              <w:t>6</w:t>
            </w:r>
          </w:p>
        </w:tc>
        <w:tc>
          <w:tcPr>
            <w:tcW w:w="1418" w:type="dxa"/>
            <w:shd w:val="clear" w:color="auto" w:fill="FFFFFF"/>
          </w:tcPr>
          <w:p w14:paraId="34FE4A99" w14:textId="77777777" w:rsidR="000362F2" w:rsidRPr="00B57B36" w:rsidRDefault="000362F2" w:rsidP="005852E3">
            <w:pPr>
              <w:pStyle w:val="CETBodytext"/>
              <w:ind w:right="57"/>
              <w:jc w:val="right"/>
              <w:rPr>
                <w:rFonts w:cs="Arial"/>
                <w:szCs w:val="18"/>
                <w:lang w:val="en-GB"/>
              </w:rPr>
            </w:pPr>
            <w:r>
              <w:rPr>
                <w:rFonts w:cs="Arial"/>
                <w:szCs w:val="18"/>
                <w:lang w:val="en-GB"/>
              </w:rPr>
              <w:t>0.00</w:t>
            </w:r>
          </w:p>
        </w:tc>
        <w:tc>
          <w:tcPr>
            <w:tcW w:w="1276" w:type="dxa"/>
            <w:shd w:val="clear" w:color="auto" w:fill="FFFFFF"/>
          </w:tcPr>
          <w:p w14:paraId="1A80A3E1" w14:textId="77777777" w:rsidR="000362F2" w:rsidRPr="00B57B36" w:rsidRDefault="000362F2" w:rsidP="00D35F47">
            <w:pPr>
              <w:pStyle w:val="CETBodytext"/>
              <w:ind w:right="-1"/>
              <w:jc w:val="right"/>
              <w:rPr>
                <w:rFonts w:cs="Arial"/>
                <w:szCs w:val="18"/>
                <w:lang w:val="en-GB"/>
              </w:rPr>
            </w:pPr>
            <w:r>
              <w:rPr>
                <w:rFonts w:cs="Arial"/>
                <w:szCs w:val="18"/>
                <w:lang w:val="en-GB"/>
              </w:rPr>
              <w:t>17,627</w:t>
            </w:r>
          </w:p>
        </w:tc>
      </w:tr>
      <w:tr w:rsidR="000362F2" w:rsidRPr="00B57B36" w14:paraId="08BCC6EB" w14:textId="77777777" w:rsidTr="00732098">
        <w:tc>
          <w:tcPr>
            <w:tcW w:w="1134" w:type="dxa"/>
            <w:shd w:val="clear" w:color="auto" w:fill="FFFFFF"/>
          </w:tcPr>
          <w:p w14:paraId="4527B2C3" w14:textId="77777777" w:rsidR="000362F2" w:rsidRPr="00B57B36" w:rsidRDefault="000362F2" w:rsidP="00732098">
            <w:pPr>
              <w:pStyle w:val="CETBodytext"/>
              <w:ind w:right="-1"/>
              <w:rPr>
                <w:rFonts w:cs="Arial"/>
                <w:szCs w:val="18"/>
                <w:lang w:val="en-GB"/>
              </w:rPr>
            </w:pPr>
            <w:r>
              <w:rPr>
                <w:rFonts w:cs="Arial"/>
                <w:szCs w:val="18"/>
                <w:lang w:val="en-GB"/>
              </w:rPr>
              <w:t>7</w:t>
            </w:r>
          </w:p>
        </w:tc>
        <w:tc>
          <w:tcPr>
            <w:tcW w:w="1418" w:type="dxa"/>
            <w:shd w:val="clear" w:color="auto" w:fill="FFFFFF"/>
          </w:tcPr>
          <w:p w14:paraId="1F01BBB5" w14:textId="77777777" w:rsidR="000362F2" w:rsidRPr="00B57B36" w:rsidRDefault="000362F2" w:rsidP="005852E3">
            <w:pPr>
              <w:pStyle w:val="CETBodytext"/>
              <w:ind w:right="57"/>
              <w:jc w:val="right"/>
              <w:rPr>
                <w:rFonts w:cs="Arial"/>
                <w:szCs w:val="18"/>
                <w:lang w:val="en-GB"/>
              </w:rPr>
            </w:pPr>
            <w:r>
              <w:rPr>
                <w:rFonts w:cs="Arial"/>
                <w:szCs w:val="18"/>
                <w:lang w:val="en-GB"/>
              </w:rPr>
              <w:t>0.00</w:t>
            </w:r>
          </w:p>
        </w:tc>
        <w:tc>
          <w:tcPr>
            <w:tcW w:w="1276" w:type="dxa"/>
            <w:shd w:val="clear" w:color="auto" w:fill="FFFFFF"/>
          </w:tcPr>
          <w:p w14:paraId="208AD291" w14:textId="77777777" w:rsidR="000362F2" w:rsidRPr="00B57B36" w:rsidRDefault="000362F2" w:rsidP="00D35F47">
            <w:pPr>
              <w:pStyle w:val="CETBodytext"/>
              <w:ind w:right="-1"/>
              <w:jc w:val="right"/>
              <w:rPr>
                <w:rFonts w:cs="Arial"/>
                <w:szCs w:val="18"/>
                <w:lang w:val="en-GB"/>
              </w:rPr>
            </w:pPr>
            <w:r>
              <w:rPr>
                <w:rFonts w:cs="Arial"/>
                <w:szCs w:val="18"/>
                <w:lang w:val="en-GB"/>
              </w:rPr>
              <w:t>21,240</w:t>
            </w:r>
          </w:p>
        </w:tc>
      </w:tr>
      <w:tr w:rsidR="000362F2" w:rsidRPr="00B57B36" w14:paraId="0AA4133C" w14:textId="77777777" w:rsidTr="00732098">
        <w:tc>
          <w:tcPr>
            <w:tcW w:w="1134" w:type="dxa"/>
            <w:shd w:val="clear" w:color="auto" w:fill="FFFFFF"/>
          </w:tcPr>
          <w:p w14:paraId="4D27C85D" w14:textId="77777777" w:rsidR="000362F2" w:rsidRPr="00B57B36" w:rsidRDefault="000362F2" w:rsidP="00732098">
            <w:pPr>
              <w:pStyle w:val="CETBodytext"/>
              <w:ind w:right="-1"/>
              <w:rPr>
                <w:rFonts w:cs="Arial"/>
                <w:szCs w:val="18"/>
                <w:lang w:val="en-GB"/>
              </w:rPr>
            </w:pPr>
            <w:r>
              <w:rPr>
                <w:rFonts w:cs="Arial"/>
                <w:szCs w:val="18"/>
                <w:lang w:val="en-GB"/>
              </w:rPr>
              <w:t>8</w:t>
            </w:r>
          </w:p>
        </w:tc>
        <w:tc>
          <w:tcPr>
            <w:tcW w:w="1418" w:type="dxa"/>
            <w:shd w:val="clear" w:color="auto" w:fill="FFFFFF"/>
          </w:tcPr>
          <w:p w14:paraId="0A3E6AF6" w14:textId="77777777" w:rsidR="000362F2" w:rsidRPr="00B57B36" w:rsidRDefault="000362F2" w:rsidP="005852E3">
            <w:pPr>
              <w:pStyle w:val="CETBodytext"/>
              <w:ind w:right="57"/>
              <w:jc w:val="right"/>
              <w:rPr>
                <w:rFonts w:cs="Arial"/>
                <w:szCs w:val="18"/>
                <w:lang w:val="en-GB"/>
              </w:rPr>
            </w:pPr>
            <w:r>
              <w:rPr>
                <w:rFonts w:cs="Arial"/>
                <w:szCs w:val="18"/>
                <w:lang w:val="en-GB"/>
              </w:rPr>
              <w:t>0.00</w:t>
            </w:r>
          </w:p>
        </w:tc>
        <w:tc>
          <w:tcPr>
            <w:tcW w:w="1276" w:type="dxa"/>
            <w:shd w:val="clear" w:color="auto" w:fill="FFFFFF"/>
          </w:tcPr>
          <w:p w14:paraId="179A044F" w14:textId="77777777" w:rsidR="000362F2" w:rsidRPr="00B57B36" w:rsidRDefault="000362F2" w:rsidP="00D35F47">
            <w:pPr>
              <w:pStyle w:val="CETBodytext"/>
              <w:ind w:right="-1"/>
              <w:jc w:val="right"/>
              <w:rPr>
                <w:rFonts w:cs="Arial"/>
                <w:szCs w:val="18"/>
                <w:lang w:val="en-GB"/>
              </w:rPr>
            </w:pPr>
            <w:r>
              <w:rPr>
                <w:rFonts w:cs="Arial"/>
                <w:szCs w:val="18"/>
                <w:lang w:val="en-GB"/>
              </w:rPr>
              <w:t>14,599</w:t>
            </w:r>
          </w:p>
        </w:tc>
      </w:tr>
    </w:tbl>
    <w:p w14:paraId="538291AE" w14:textId="77777777" w:rsidR="00065BCD" w:rsidRDefault="00065BCD" w:rsidP="00501BC2">
      <w:pPr>
        <w:pStyle w:val="CETBodytext"/>
        <w:rPr>
          <w:lang w:val="en-GB"/>
        </w:rPr>
      </w:pPr>
    </w:p>
    <w:p w14:paraId="531B927B" w14:textId="77777777" w:rsidR="002F439C" w:rsidRDefault="002F439C" w:rsidP="00501BC2">
      <w:pPr>
        <w:pStyle w:val="CETBodytext"/>
        <w:rPr>
          <w:lang w:val="en-GB"/>
        </w:rPr>
      </w:pPr>
    </w:p>
    <w:p w14:paraId="63CF6374" w14:textId="77777777" w:rsidR="00501BC2" w:rsidRPr="00B57B36" w:rsidRDefault="00501BC2" w:rsidP="00501BC2">
      <w:pPr>
        <w:pStyle w:val="CETTabletitle"/>
      </w:pPr>
      <w:r w:rsidRPr="00B57B36">
        <w:lastRenderedPageBreak/>
        <w:t xml:space="preserve">Table </w:t>
      </w:r>
      <w:r w:rsidR="001C3E00">
        <w:t>3</w:t>
      </w:r>
      <w:r w:rsidRPr="00B57B36">
        <w:t xml:space="preserve">: </w:t>
      </w:r>
      <w:r w:rsidRPr="00501BC2">
        <w:t>Results of the scenarios</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900"/>
        <w:gridCol w:w="801"/>
        <w:gridCol w:w="709"/>
        <w:gridCol w:w="650"/>
        <w:gridCol w:w="484"/>
        <w:gridCol w:w="956"/>
        <w:gridCol w:w="900"/>
        <w:gridCol w:w="900"/>
        <w:gridCol w:w="900"/>
        <w:gridCol w:w="720"/>
        <w:gridCol w:w="720"/>
      </w:tblGrid>
      <w:tr w:rsidR="00691A11" w:rsidRPr="00B57B36" w14:paraId="10F3E937" w14:textId="77777777" w:rsidTr="00691A11">
        <w:tc>
          <w:tcPr>
            <w:tcW w:w="900" w:type="dxa"/>
            <w:tcBorders>
              <w:top w:val="single" w:sz="12" w:space="0" w:color="008000"/>
              <w:bottom w:val="single" w:sz="6" w:space="0" w:color="008000"/>
            </w:tcBorders>
            <w:shd w:val="clear" w:color="auto" w:fill="FFFFFF"/>
          </w:tcPr>
          <w:p w14:paraId="26275320" w14:textId="77777777" w:rsidR="00FA7DC6" w:rsidRPr="00B57B36" w:rsidRDefault="00FA7DC6" w:rsidP="00C957EF">
            <w:pPr>
              <w:pStyle w:val="CETBodytext"/>
              <w:rPr>
                <w:lang w:val="en-GB"/>
              </w:rPr>
            </w:pPr>
            <w:r w:rsidRPr="00E67DC8">
              <w:rPr>
                <w:lang w:val="en-GB"/>
              </w:rPr>
              <w:t>Scenario</w:t>
            </w:r>
          </w:p>
        </w:tc>
        <w:tc>
          <w:tcPr>
            <w:tcW w:w="2160" w:type="dxa"/>
            <w:gridSpan w:val="3"/>
            <w:tcBorders>
              <w:top w:val="single" w:sz="12" w:space="0" w:color="008000"/>
              <w:bottom w:val="single" w:sz="6" w:space="0" w:color="008000"/>
            </w:tcBorders>
            <w:shd w:val="clear" w:color="auto" w:fill="FFFFFF"/>
          </w:tcPr>
          <w:p w14:paraId="4DACC160" w14:textId="77777777" w:rsidR="00FA7DC6" w:rsidRPr="00B57B36" w:rsidRDefault="00FA7DC6" w:rsidP="00CA380B">
            <w:pPr>
              <w:pStyle w:val="CETBodytext"/>
              <w:ind w:right="-1"/>
              <w:jc w:val="center"/>
              <w:rPr>
                <w:rFonts w:cs="Arial"/>
                <w:szCs w:val="18"/>
                <w:lang w:val="en-GB"/>
              </w:rPr>
            </w:pPr>
            <w:r>
              <w:rPr>
                <w:rFonts w:cs="Arial"/>
                <w:szCs w:val="18"/>
                <w:lang w:val="en-GB"/>
              </w:rPr>
              <w:t>Reactants</w:t>
            </w:r>
          </w:p>
        </w:tc>
        <w:tc>
          <w:tcPr>
            <w:tcW w:w="484" w:type="dxa"/>
            <w:tcBorders>
              <w:top w:val="single" w:sz="12" w:space="0" w:color="008000"/>
              <w:bottom w:val="single" w:sz="6" w:space="0" w:color="008000"/>
            </w:tcBorders>
            <w:shd w:val="clear" w:color="auto" w:fill="FFFFFF"/>
          </w:tcPr>
          <w:p w14:paraId="7783560A" w14:textId="77777777" w:rsidR="00FA7DC6" w:rsidRPr="00B57B36" w:rsidRDefault="00FA7DC6" w:rsidP="00C957EF">
            <w:pPr>
              <w:pStyle w:val="CETBodytext"/>
              <w:ind w:right="-1"/>
              <w:rPr>
                <w:rFonts w:cs="Arial"/>
                <w:szCs w:val="18"/>
                <w:lang w:val="en-GB"/>
              </w:rPr>
            </w:pPr>
          </w:p>
        </w:tc>
        <w:tc>
          <w:tcPr>
            <w:tcW w:w="956" w:type="dxa"/>
            <w:tcBorders>
              <w:top w:val="single" w:sz="12" w:space="0" w:color="008000"/>
              <w:bottom w:val="single" w:sz="6" w:space="0" w:color="008000"/>
            </w:tcBorders>
            <w:shd w:val="clear" w:color="auto" w:fill="FFFFFF"/>
          </w:tcPr>
          <w:p w14:paraId="0488B97E" w14:textId="77777777" w:rsidR="00FA7DC6" w:rsidRPr="00B57B36" w:rsidRDefault="00FA7DC6" w:rsidP="00C957EF">
            <w:pPr>
              <w:pStyle w:val="CETBodytext"/>
              <w:ind w:right="-1"/>
              <w:rPr>
                <w:rFonts w:cs="Arial"/>
                <w:szCs w:val="18"/>
                <w:lang w:val="en-GB"/>
              </w:rPr>
            </w:pPr>
          </w:p>
        </w:tc>
        <w:tc>
          <w:tcPr>
            <w:tcW w:w="2700" w:type="dxa"/>
            <w:gridSpan w:val="3"/>
            <w:tcBorders>
              <w:top w:val="single" w:sz="12" w:space="0" w:color="008000"/>
              <w:bottom w:val="single" w:sz="6" w:space="0" w:color="008000"/>
            </w:tcBorders>
            <w:shd w:val="clear" w:color="auto" w:fill="FFFFFF"/>
          </w:tcPr>
          <w:p w14:paraId="0C40D3FE" w14:textId="77777777" w:rsidR="00FA7DC6" w:rsidRPr="00B57B36" w:rsidRDefault="00FA7DC6" w:rsidP="00CA380B">
            <w:pPr>
              <w:pStyle w:val="CETBodytext"/>
              <w:ind w:right="-1"/>
              <w:jc w:val="right"/>
              <w:rPr>
                <w:rFonts w:cs="Arial"/>
                <w:szCs w:val="18"/>
                <w:lang w:val="en-GB"/>
              </w:rPr>
            </w:pPr>
            <w:r>
              <w:rPr>
                <w:rFonts w:cs="Arial"/>
                <w:szCs w:val="18"/>
                <w:lang w:val="en-GB"/>
              </w:rPr>
              <w:t>Products</w:t>
            </w:r>
          </w:p>
        </w:tc>
        <w:tc>
          <w:tcPr>
            <w:tcW w:w="720" w:type="dxa"/>
            <w:tcBorders>
              <w:top w:val="single" w:sz="12" w:space="0" w:color="008000"/>
              <w:bottom w:val="single" w:sz="6" w:space="0" w:color="008000"/>
            </w:tcBorders>
            <w:shd w:val="clear" w:color="auto" w:fill="FFFFFF"/>
          </w:tcPr>
          <w:p w14:paraId="2E117A1C" w14:textId="77777777" w:rsidR="00FA7DC6" w:rsidRDefault="00FA7DC6" w:rsidP="001C3E00">
            <w:pPr>
              <w:pStyle w:val="CETBodytext"/>
              <w:ind w:right="-1"/>
              <w:jc w:val="center"/>
              <w:rPr>
                <w:rFonts w:cs="Arial"/>
                <w:szCs w:val="18"/>
                <w:lang w:val="en-GB"/>
              </w:rPr>
            </w:pPr>
          </w:p>
        </w:tc>
        <w:tc>
          <w:tcPr>
            <w:tcW w:w="720" w:type="dxa"/>
            <w:tcBorders>
              <w:top w:val="single" w:sz="12" w:space="0" w:color="008000"/>
              <w:bottom w:val="single" w:sz="6" w:space="0" w:color="008000"/>
            </w:tcBorders>
            <w:shd w:val="clear" w:color="auto" w:fill="FFFFFF"/>
          </w:tcPr>
          <w:p w14:paraId="6F865EE8" w14:textId="77777777" w:rsidR="00FA7DC6" w:rsidRDefault="00FA7DC6" w:rsidP="001C3E00">
            <w:pPr>
              <w:pStyle w:val="CETBodytext"/>
              <w:ind w:right="-1"/>
              <w:jc w:val="center"/>
              <w:rPr>
                <w:rFonts w:cs="Arial"/>
                <w:szCs w:val="18"/>
                <w:lang w:val="en-GB"/>
              </w:rPr>
            </w:pPr>
          </w:p>
        </w:tc>
      </w:tr>
      <w:tr w:rsidR="00691A11" w:rsidRPr="00B57B36" w14:paraId="6FB6B8E2" w14:textId="77777777" w:rsidTr="00691A11">
        <w:tc>
          <w:tcPr>
            <w:tcW w:w="900" w:type="dxa"/>
            <w:vMerge w:val="restart"/>
            <w:shd w:val="clear" w:color="auto" w:fill="FFFFFF"/>
            <w:vAlign w:val="center"/>
          </w:tcPr>
          <w:p w14:paraId="78468B10" w14:textId="77777777" w:rsidR="00FA7DC6" w:rsidRPr="00B57B36" w:rsidRDefault="00FA7DC6" w:rsidP="001C3E00">
            <w:pPr>
              <w:pStyle w:val="CETBodytext"/>
              <w:jc w:val="left"/>
              <w:rPr>
                <w:lang w:val="en-GB"/>
              </w:rPr>
            </w:pPr>
            <w:r>
              <w:rPr>
                <w:lang w:val="en-GB"/>
              </w:rPr>
              <w:t>1</w:t>
            </w:r>
          </w:p>
        </w:tc>
        <w:tc>
          <w:tcPr>
            <w:tcW w:w="801" w:type="dxa"/>
            <w:shd w:val="clear" w:color="auto" w:fill="FFFFFF"/>
          </w:tcPr>
          <w:p w14:paraId="4551EBD5" w14:textId="77777777" w:rsidR="00FA7DC6" w:rsidRPr="00B57B36" w:rsidRDefault="00FA7DC6" w:rsidP="00950036">
            <w:pPr>
              <w:pStyle w:val="CETBodytext"/>
              <w:rPr>
                <w:lang w:val="en-GB"/>
              </w:rPr>
            </w:pPr>
            <w:r w:rsidRPr="00E67DC8">
              <w:rPr>
                <w:lang w:val="en-GB"/>
              </w:rPr>
              <w:t>C</w:t>
            </w:r>
            <w:r w:rsidRPr="00E67DC8">
              <w:rPr>
                <w:rFonts w:ascii="Cambria Math" w:hAnsi="Cambria Math" w:cs="Cambria Math"/>
                <w:lang w:val="en-GB"/>
              </w:rPr>
              <w:t>₃</w:t>
            </w:r>
            <w:r w:rsidRPr="00E67DC8">
              <w:rPr>
                <w:lang w:val="en-GB"/>
              </w:rPr>
              <w:t>H</w:t>
            </w:r>
            <w:r w:rsidRPr="00E67DC8">
              <w:rPr>
                <w:rFonts w:ascii="Cambria Math" w:hAnsi="Cambria Math" w:cs="Cambria Math"/>
                <w:lang w:val="en-GB"/>
              </w:rPr>
              <w:t>₈</w:t>
            </w:r>
            <w:r w:rsidRPr="00E67DC8">
              <w:rPr>
                <w:lang w:val="en-GB"/>
              </w:rPr>
              <w:t>O</w:t>
            </w:r>
            <w:r w:rsidRPr="00E67DC8">
              <w:rPr>
                <w:rFonts w:ascii="Cambria Math" w:hAnsi="Cambria Math" w:cs="Cambria Math"/>
                <w:lang w:val="en-GB"/>
              </w:rPr>
              <w:t>₃</w:t>
            </w:r>
          </w:p>
        </w:tc>
        <w:tc>
          <w:tcPr>
            <w:tcW w:w="709" w:type="dxa"/>
            <w:shd w:val="clear" w:color="auto" w:fill="FFFFFF"/>
          </w:tcPr>
          <w:p w14:paraId="72D13081" w14:textId="77777777" w:rsidR="00FA7DC6" w:rsidRPr="00B57B36" w:rsidRDefault="00FA7DC6" w:rsidP="00950036">
            <w:pPr>
              <w:pStyle w:val="CETBodytext"/>
              <w:rPr>
                <w:lang w:val="en-GB"/>
              </w:rPr>
            </w:pPr>
            <w:r w:rsidRPr="00E67DC8">
              <w:rPr>
                <w:rFonts w:cs="Arial"/>
                <w:szCs w:val="18"/>
                <w:lang w:val="en-GB"/>
              </w:rPr>
              <w:t>O</w:t>
            </w:r>
            <w:r w:rsidRPr="00E67DC8">
              <w:rPr>
                <w:rFonts w:cs="Arial"/>
                <w:szCs w:val="18"/>
                <w:vertAlign w:val="subscript"/>
                <w:lang w:val="en-GB"/>
              </w:rPr>
              <w:t>2</w:t>
            </w:r>
          </w:p>
        </w:tc>
        <w:tc>
          <w:tcPr>
            <w:tcW w:w="650" w:type="dxa"/>
            <w:shd w:val="clear" w:color="auto" w:fill="FFFFFF"/>
          </w:tcPr>
          <w:p w14:paraId="5E3EB4CE" w14:textId="77777777" w:rsidR="00FA7DC6" w:rsidRPr="00B57B36" w:rsidRDefault="00FA7DC6" w:rsidP="00950036">
            <w:pPr>
              <w:pStyle w:val="CETBodytext"/>
              <w:ind w:right="-1"/>
              <w:rPr>
                <w:rFonts w:cs="Arial"/>
                <w:szCs w:val="18"/>
                <w:lang w:val="en-GB"/>
              </w:rPr>
            </w:pPr>
          </w:p>
        </w:tc>
        <w:tc>
          <w:tcPr>
            <w:tcW w:w="484" w:type="dxa"/>
            <w:shd w:val="clear" w:color="auto" w:fill="FFFFFF"/>
          </w:tcPr>
          <w:p w14:paraId="26AB2B10" w14:textId="77777777" w:rsidR="00FA7DC6" w:rsidRPr="00B57B36" w:rsidRDefault="00FA7DC6" w:rsidP="00950036">
            <w:pPr>
              <w:pStyle w:val="CETBodytext"/>
              <w:ind w:right="-1"/>
              <w:rPr>
                <w:rFonts w:cs="Arial"/>
                <w:szCs w:val="18"/>
                <w:lang w:val="en-GB"/>
              </w:rPr>
            </w:pPr>
          </w:p>
        </w:tc>
        <w:tc>
          <w:tcPr>
            <w:tcW w:w="956" w:type="dxa"/>
            <w:shd w:val="clear" w:color="auto" w:fill="FFFFFF"/>
          </w:tcPr>
          <w:p w14:paraId="0F9FD1B1"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013C34B8" w14:textId="77777777" w:rsidR="00FA7DC6" w:rsidRPr="00B57B36" w:rsidRDefault="00FA7DC6" w:rsidP="00950036">
            <w:pPr>
              <w:pStyle w:val="CETBodytext"/>
              <w:ind w:right="-1"/>
              <w:rPr>
                <w:rFonts w:cs="Arial"/>
                <w:szCs w:val="18"/>
                <w:lang w:val="en-GB"/>
              </w:rPr>
            </w:pPr>
            <w:r w:rsidRPr="00E67DC8">
              <w:rPr>
                <w:rFonts w:cs="Arial"/>
                <w:szCs w:val="18"/>
                <w:lang w:val="en-GB"/>
              </w:rPr>
              <w:t>C</w:t>
            </w:r>
            <w:r w:rsidRPr="00E67DC8">
              <w:rPr>
                <w:rFonts w:cs="Arial"/>
                <w:szCs w:val="18"/>
                <w:vertAlign w:val="subscript"/>
                <w:lang w:val="en-GB"/>
              </w:rPr>
              <w:t>2</w:t>
            </w:r>
            <w:r w:rsidRPr="00E67DC8">
              <w:rPr>
                <w:rFonts w:cs="Arial"/>
                <w:szCs w:val="18"/>
                <w:lang w:val="en-GB"/>
              </w:rPr>
              <w:t>H</w:t>
            </w:r>
            <w:r w:rsidRPr="00E67DC8">
              <w:rPr>
                <w:rFonts w:cs="Arial"/>
                <w:szCs w:val="18"/>
                <w:vertAlign w:val="subscript"/>
                <w:lang w:val="en-GB"/>
              </w:rPr>
              <w:t>4</w:t>
            </w:r>
            <w:r w:rsidRPr="00E67DC8">
              <w:rPr>
                <w:rFonts w:cs="Arial"/>
                <w:szCs w:val="18"/>
                <w:lang w:val="en-GB"/>
              </w:rPr>
              <w:t>O</w:t>
            </w:r>
            <w:r w:rsidR="001E5C34">
              <w:rPr>
                <w:rFonts w:cs="Arial"/>
                <w:szCs w:val="18"/>
                <w:vertAlign w:val="subscript"/>
                <w:lang w:val="en-GB"/>
              </w:rPr>
              <w:t>3</w:t>
            </w:r>
          </w:p>
        </w:tc>
        <w:tc>
          <w:tcPr>
            <w:tcW w:w="900" w:type="dxa"/>
            <w:shd w:val="clear" w:color="auto" w:fill="FFFFFF"/>
          </w:tcPr>
          <w:p w14:paraId="7DBF19E8" w14:textId="77777777" w:rsidR="00FA7DC6" w:rsidRPr="00B57B36" w:rsidRDefault="00FA7DC6" w:rsidP="00950036">
            <w:pPr>
              <w:pStyle w:val="CETBodytext"/>
              <w:ind w:right="-1"/>
              <w:rPr>
                <w:rFonts w:cs="Arial"/>
                <w:szCs w:val="18"/>
                <w:lang w:val="en-GB"/>
              </w:rPr>
            </w:pPr>
            <w:r w:rsidRPr="00456B6E">
              <w:rPr>
                <w:rFonts w:cs="Arial"/>
                <w:szCs w:val="18"/>
                <w:lang w:val="en-GB"/>
              </w:rPr>
              <w:t>CH</w:t>
            </w:r>
            <w:r w:rsidRPr="00456B6E">
              <w:rPr>
                <w:rFonts w:cs="Arial"/>
                <w:szCs w:val="18"/>
                <w:vertAlign w:val="subscript"/>
                <w:lang w:val="en-GB"/>
              </w:rPr>
              <w:t>3</w:t>
            </w:r>
            <w:r w:rsidRPr="00456B6E">
              <w:rPr>
                <w:rFonts w:cs="Arial"/>
                <w:szCs w:val="18"/>
                <w:lang w:val="en-GB"/>
              </w:rPr>
              <w:t>OH</w:t>
            </w:r>
          </w:p>
        </w:tc>
        <w:tc>
          <w:tcPr>
            <w:tcW w:w="900" w:type="dxa"/>
            <w:shd w:val="clear" w:color="auto" w:fill="FFFFFF"/>
          </w:tcPr>
          <w:p w14:paraId="2751D9C9"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0A1CC6D2"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0D040EC1" w14:textId="77777777" w:rsidR="00FA7DC6" w:rsidRPr="00B57B36" w:rsidRDefault="00FA7DC6" w:rsidP="00950036">
            <w:pPr>
              <w:pStyle w:val="CETBodytext"/>
              <w:ind w:right="-1"/>
              <w:rPr>
                <w:rFonts w:cs="Arial"/>
                <w:szCs w:val="18"/>
                <w:lang w:val="en-GB"/>
              </w:rPr>
            </w:pPr>
          </w:p>
        </w:tc>
      </w:tr>
      <w:tr w:rsidR="00691A11" w:rsidRPr="00B57B36" w14:paraId="50C8A3C9" w14:textId="77777777" w:rsidTr="00691A11">
        <w:tc>
          <w:tcPr>
            <w:tcW w:w="900" w:type="dxa"/>
            <w:vMerge/>
            <w:shd w:val="clear" w:color="auto" w:fill="FFFFFF"/>
          </w:tcPr>
          <w:p w14:paraId="4FDFADD6" w14:textId="77777777" w:rsidR="00FA7DC6" w:rsidRPr="00B57B36" w:rsidRDefault="00FA7DC6" w:rsidP="00950036">
            <w:pPr>
              <w:pStyle w:val="CETBodytext"/>
              <w:ind w:right="-1"/>
              <w:rPr>
                <w:rFonts w:cs="Arial"/>
                <w:szCs w:val="18"/>
                <w:lang w:val="en-GB"/>
              </w:rPr>
            </w:pPr>
          </w:p>
        </w:tc>
        <w:tc>
          <w:tcPr>
            <w:tcW w:w="801" w:type="dxa"/>
            <w:shd w:val="clear" w:color="auto" w:fill="FFFFFF"/>
          </w:tcPr>
          <w:p w14:paraId="531CCEC5" w14:textId="77777777" w:rsidR="00FA7DC6" w:rsidRPr="00B57B36" w:rsidRDefault="00FA7DC6" w:rsidP="00950036">
            <w:pPr>
              <w:pStyle w:val="CETBodytext"/>
              <w:ind w:right="-1"/>
              <w:rPr>
                <w:rFonts w:cs="Arial"/>
                <w:szCs w:val="18"/>
                <w:lang w:val="en-GB"/>
              </w:rPr>
            </w:pPr>
            <w:r w:rsidRPr="00E67DC8">
              <w:rPr>
                <w:rFonts w:cs="Arial"/>
                <w:szCs w:val="18"/>
                <w:lang w:val="en-GB"/>
              </w:rPr>
              <w:t>n=100</w:t>
            </w:r>
          </w:p>
        </w:tc>
        <w:tc>
          <w:tcPr>
            <w:tcW w:w="709" w:type="dxa"/>
            <w:shd w:val="clear" w:color="auto" w:fill="FFFFFF"/>
          </w:tcPr>
          <w:p w14:paraId="13354837" w14:textId="77777777" w:rsidR="00FA7DC6" w:rsidRPr="00B57B36" w:rsidRDefault="00FA7DC6" w:rsidP="00950036">
            <w:pPr>
              <w:pStyle w:val="CETBodytext"/>
              <w:ind w:right="-1"/>
              <w:rPr>
                <w:rFonts w:cs="Arial"/>
                <w:szCs w:val="18"/>
                <w:lang w:val="en-GB"/>
              </w:rPr>
            </w:pPr>
            <w:r w:rsidRPr="00E67DC8">
              <w:rPr>
                <w:rFonts w:cs="Arial"/>
                <w:szCs w:val="18"/>
                <w:lang w:val="en-GB"/>
              </w:rPr>
              <w:t>n=50</w:t>
            </w:r>
          </w:p>
        </w:tc>
        <w:tc>
          <w:tcPr>
            <w:tcW w:w="650" w:type="dxa"/>
            <w:shd w:val="clear" w:color="auto" w:fill="FFFFFF"/>
          </w:tcPr>
          <w:p w14:paraId="7E2027FD" w14:textId="77777777" w:rsidR="00FA7DC6" w:rsidRPr="00B57B36" w:rsidRDefault="00FA7DC6" w:rsidP="00950036">
            <w:pPr>
              <w:pStyle w:val="CETBodytext"/>
              <w:ind w:right="-1"/>
              <w:rPr>
                <w:rFonts w:cs="Arial"/>
                <w:szCs w:val="18"/>
                <w:lang w:val="en-GB"/>
              </w:rPr>
            </w:pPr>
          </w:p>
        </w:tc>
        <w:tc>
          <w:tcPr>
            <w:tcW w:w="484" w:type="dxa"/>
            <w:shd w:val="clear" w:color="auto" w:fill="FFFFFF"/>
          </w:tcPr>
          <w:p w14:paraId="32AB1616" w14:textId="77777777" w:rsidR="00FA7DC6" w:rsidRPr="00B57B36" w:rsidRDefault="00FA7DC6" w:rsidP="00950036">
            <w:pPr>
              <w:pStyle w:val="CETBodytext"/>
              <w:ind w:right="-1"/>
              <w:rPr>
                <w:rFonts w:cs="Arial"/>
                <w:szCs w:val="18"/>
                <w:lang w:val="en-GB"/>
              </w:rPr>
            </w:pPr>
          </w:p>
        </w:tc>
        <w:tc>
          <w:tcPr>
            <w:tcW w:w="956" w:type="dxa"/>
            <w:shd w:val="clear" w:color="auto" w:fill="FFFFFF"/>
          </w:tcPr>
          <w:p w14:paraId="687B2986"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57F4EA39" w14:textId="77777777" w:rsidR="00FA7DC6" w:rsidRPr="00B57B36" w:rsidRDefault="00FA7DC6" w:rsidP="00950036">
            <w:pPr>
              <w:pStyle w:val="CETBodytext"/>
              <w:ind w:right="-1"/>
              <w:rPr>
                <w:rFonts w:cs="Arial"/>
                <w:szCs w:val="18"/>
                <w:lang w:val="en-GB"/>
              </w:rPr>
            </w:pPr>
            <w:r w:rsidRPr="00E67DC8">
              <w:rPr>
                <w:rFonts w:cs="Arial"/>
                <w:szCs w:val="18"/>
                <w:lang w:val="en-GB"/>
              </w:rPr>
              <w:t>n=100</w:t>
            </w:r>
          </w:p>
        </w:tc>
        <w:tc>
          <w:tcPr>
            <w:tcW w:w="900" w:type="dxa"/>
            <w:shd w:val="clear" w:color="auto" w:fill="FFFFFF"/>
          </w:tcPr>
          <w:p w14:paraId="69CA5FCD" w14:textId="77777777" w:rsidR="00FA7DC6" w:rsidRPr="00B57B36" w:rsidRDefault="00FA7DC6" w:rsidP="00950036">
            <w:pPr>
              <w:pStyle w:val="CETBodytext"/>
              <w:ind w:right="-1"/>
              <w:rPr>
                <w:rFonts w:cs="Arial"/>
                <w:szCs w:val="18"/>
                <w:lang w:val="en-GB"/>
              </w:rPr>
            </w:pPr>
            <w:r>
              <w:rPr>
                <w:rFonts w:cs="Arial"/>
                <w:szCs w:val="18"/>
                <w:lang w:val="en-GB"/>
              </w:rPr>
              <w:t>n=100</w:t>
            </w:r>
          </w:p>
        </w:tc>
        <w:tc>
          <w:tcPr>
            <w:tcW w:w="900" w:type="dxa"/>
            <w:shd w:val="clear" w:color="auto" w:fill="FFFFFF"/>
          </w:tcPr>
          <w:p w14:paraId="13CA262C"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4D2732A3"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73CE6A15" w14:textId="77777777" w:rsidR="00FA7DC6" w:rsidRPr="00B57B36" w:rsidRDefault="00FA7DC6" w:rsidP="00950036">
            <w:pPr>
              <w:pStyle w:val="CETBodytext"/>
              <w:ind w:right="-1"/>
              <w:rPr>
                <w:rFonts w:cs="Arial"/>
                <w:szCs w:val="18"/>
                <w:lang w:val="en-GB"/>
              </w:rPr>
            </w:pPr>
          </w:p>
        </w:tc>
      </w:tr>
      <w:tr w:rsidR="00691A11" w:rsidRPr="00B57B36" w14:paraId="43A1A4FA" w14:textId="77777777" w:rsidTr="00691A11">
        <w:tc>
          <w:tcPr>
            <w:tcW w:w="900" w:type="dxa"/>
            <w:shd w:val="clear" w:color="auto" w:fill="FFFFFF"/>
          </w:tcPr>
          <w:p w14:paraId="3C402F1C" w14:textId="77777777" w:rsidR="00FA7DC6" w:rsidRPr="00B57B36" w:rsidRDefault="00FA7DC6" w:rsidP="00950036">
            <w:pPr>
              <w:pStyle w:val="CETBodytext"/>
              <w:ind w:right="-1"/>
              <w:rPr>
                <w:rFonts w:cs="Arial"/>
                <w:szCs w:val="18"/>
                <w:lang w:val="en-GB"/>
              </w:rPr>
            </w:pPr>
          </w:p>
        </w:tc>
        <w:tc>
          <w:tcPr>
            <w:tcW w:w="801" w:type="dxa"/>
            <w:shd w:val="clear" w:color="auto" w:fill="FFFFFF"/>
          </w:tcPr>
          <w:p w14:paraId="055C1DE4" w14:textId="77777777" w:rsidR="00FA7DC6" w:rsidRPr="00B57B36" w:rsidRDefault="00FA7DC6" w:rsidP="00950036">
            <w:pPr>
              <w:pStyle w:val="CETBodytext"/>
              <w:ind w:right="-1"/>
              <w:rPr>
                <w:rFonts w:cs="Arial"/>
                <w:szCs w:val="18"/>
                <w:lang w:val="en-GB"/>
              </w:rPr>
            </w:pPr>
          </w:p>
        </w:tc>
        <w:tc>
          <w:tcPr>
            <w:tcW w:w="709" w:type="dxa"/>
            <w:shd w:val="clear" w:color="auto" w:fill="FFFFFF"/>
          </w:tcPr>
          <w:p w14:paraId="39F369B4" w14:textId="77777777" w:rsidR="00FA7DC6" w:rsidRPr="00B57B36" w:rsidRDefault="00FA7DC6" w:rsidP="00950036">
            <w:pPr>
              <w:pStyle w:val="CETBodytext"/>
              <w:ind w:right="-1"/>
              <w:rPr>
                <w:rFonts w:cs="Arial"/>
                <w:szCs w:val="18"/>
                <w:lang w:val="en-GB"/>
              </w:rPr>
            </w:pPr>
          </w:p>
        </w:tc>
        <w:tc>
          <w:tcPr>
            <w:tcW w:w="650" w:type="dxa"/>
            <w:shd w:val="clear" w:color="auto" w:fill="FFFFFF"/>
          </w:tcPr>
          <w:p w14:paraId="4A2AE8DE" w14:textId="77777777" w:rsidR="00FA7DC6" w:rsidRPr="00B57B36" w:rsidRDefault="00FA7DC6" w:rsidP="00950036">
            <w:pPr>
              <w:pStyle w:val="CETBodytext"/>
              <w:ind w:right="-1"/>
              <w:rPr>
                <w:rFonts w:cs="Arial"/>
                <w:szCs w:val="18"/>
                <w:lang w:val="en-GB"/>
              </w:rPr>
            </w:pPr>
          </w:p>
        </w:tc>
        <w:tc>
          <w:tcPr>
            <w:tcW w:w="484" w:type="dxa"/>
            <w:shd w:val="clear" w:color="auto" w:fill="FFFFFF"/>
          </w:tcPr>
          <w:p w14:paraId="6B347B9D" w14:textId="77777777" w:rsidR="00FA7DC6" w:rsidRPr="00B57B36" w:rsidRDefault="00FA7DC6" w:rsidP="00950036">
            <w:pPr>
              <w:pStyle w:val="CETBodytext"/>
              <w:ind w:right="-1"/>
              <w:rPr>
                <w:rFonts w:cs="Arial"/>
                <w:szCs w:val="18"/>
                <w:lang w:val="en-GB"/>
              </w:rPr>
            </w:pPr>
          </w:p>
        </w:tc>
        <w:tc>
          <w:tcPr>
            <w:tcW w:w="956" w:type="dxa"/>
            <w:shd w:val="clear" w:color="auto" w:fill="FFFFFF"/>
          </w:tcPr>
          <w:p w14:paraId="5777369C"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1376F330"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555C3D38"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4EA583CE"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3EBE5658"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27034603" w14:textId="77777777" w:rsidR="00FA7DC6" w:rsidRPr="00B57B36" w:rsidRDefault="00FA7DC6" w:rsidP="00950036">
            <w:pPr>
              <w:pStyle w:val="CETBodytext"/>
              <w:ind w:right="-1"/>
              <w:rPr>
                <w:rFonts w:cs="Arial"/>
                <w:szCs w:val="18"/>
                <w:lang w:val="en-GB"/>
              </w:rPr>
            </w:pPr>
          </w:p>
        </w:tc>
      </w:tr>
      <w:tr w:rsidR="00691A11" w:rsidRPr="00B57B36" w14:paraId="6568D04A" w14:textId="77777777" w:rsidTr="00691A11">
        <w:tc>
          <w:tcPr>
            <w:tcW w:w="900" w:type="dxa"/>
            <w:vMerge w:val="restart"/>
            <w:shd w:val="clear" w:color="auto" w:fill="FFFFFF"/>
            <w:vAlign w:val="center"/>
          </w:tcPr>
          <w:p w14:paraId="2B42D407" w14:textId="77777777" w:rsidR="00FA7DC6" w:rsidRPr="00B57B36" w:rsidRDefault="00FA7DC6" w:rsidP="001C3E00">
            <w:pPr>
              <w:pStyle w:val="CETBodytext"/>
              <w:ind w:right="-1"/>
              <w:jc w:val="left"/>
              <w:rPr>
                <w:rFonts w:cs="Arial"/>
                <w:szCs w:val="18"/>
                <w:lang w:val="en-GB"/>
              </w:rPr>
            </w:pPr>
            <w:r>
              <w:rPr>
                <w:rFonts w:cs="Arial"/>
                <w:szCs w:val="18"/>
                <w:lang w:val="en-GB"/>
              </w:rPr>
              <w:t>2</w:t>
            </w:r>
          </w:p>
        </w:tc>
        <w:tc>
          <w:tcPr>
            <w:tcW w:w="801" w:type="dxa"/>
            <w:shd w:val="clear" w:color="auto" w:fill="FFFFFF"/>
          </w:tcPr>
          <w:p w14:paraId="3DCCD5C7" w14:textId="77777777" w:rsidR="00FA7DC6" w:rsidRPr="00B57B36" w:rsidRDefault="00FA7DC6" w:rsidP="00950036">
            <w:pPr>
              <w:pStyle w:val="CETBodytext"/>
              <w:ind w:right="-1"/>
              <w:rPr>
                <w:rFonts w:cs="Arial"/>
                <w:szCs w:val="18"/>
                <w:lang w:val="en-GB"/>
              </w:rPr>
            </w:pPr>
            <w:r w:rsidRPr="00E67DC8">
              <w:rPr>
                <w:lang w:val="en-GB"/>
              </w:rPr>
              <w:t>C</w:t>
            </w:r>
            <w:r w:rsidRPr="00E67DC8">
              <w:rPr>
                <w:rFonts w:ascii="Cambria Math" w:hAnsi="Cambria Math" w:cs="Cambria Math"/>
                <w:lang w:val="en-GB"/>
              </w:rPr>
              <w:t>₃</w:t>
            </w:r>
            <w:r w:rsidRPr="00E67DC8">
              <w:rPr>
                <w:lang w:val="en-GB"/>
              </w:rPr>
              <w:t>H</w:t>
            </w:r>
            <w:r w:rsidRPr="00E67DC8">
              <w:rPr>
                <w:rFonts w:ascii="Cambria Math" w:hAnsi="Cambria Math" w:cs="Cambria Math"/>
                <w:lang w:val="en-GB"/>
              </w:rPr>
              <w:t>₈</w:t>
            </w:r>
            <w:r w:rsidRPr="00E67DC8">
              <w:rPr>
                <w:lang w:val="en-GB"/>
              </w:rPr>
              <w:t>O</w:t>
            </w:r>
            <w:r w:rsidRPr="00E67DC8">
              <w:rPr>
                <w:rFonts w:ascii="Cambria Math" w:hAnsi="Cambria Math" w:cs="Cambria Math"/>
                <w:lang w:val="en-GB"/>
              </w:rPr>
              <w:t>₃</w:t>
            </w:r>
          </w:p>
        </w:tc>
        <w:tc>
          <w:tcPr>
            <w:tcW w:w="709" w:type="dxa"/>
            <w:shd w:val="clear" w:color="auto" w:fill="FFFFFF"/>
          </w:tcPr>
          <w:p w14:paraId="763206D6" w14:textId="77777777" w:rsidR="00FA7DC6" w:rsidRPr="00B57B36" w:rsidRDefault="00FA7DC6" w:rsidP="00950036">
            <w:pPr>
              <w:pStyle w:val="CETBodytext"/>
              <w:ind w:right="-1"/>
              <w:rPr>
                <w:rFonts w:cs="Arial"/>
                <w:szCs w:val="18"/>
                <w:lang w:val="en-GB"/>
              </w:rPr>
            </w:pPr>
            <w:r w:rsidRPr="00E67DC8">
              <w:rPr>
                <w:rFonts w:cs="Arial"/>
                <w:szCs w:val="18"/>
                <w:lang w:val="en-GB"/>
              </w:rPr>
              <w:t>O</w:t>
            </w:r>
            <w:r w:rsidRPr="00E67DC8">
              <w:rPr>
                <w:rFonts w:cs="Arial"/>
                <w:szCs w:val="18"/>
                <w:vertAlign w:val="subscript"/>
                <w:lang w:val="en-GB"/>
              </w:rPr>
              <w:t>2</w:t>
            </w:r>
          </w:p>
        </w:tc>
        <w:tc>
          <w:tcPr>
            <w:tcW w:w="650" w:type="dxa"/>
            <w:shd w:val="clear" w:color="auto" w:fill="FFFFFF"/>
          </w:tcPr>
          <w:p w14:paraId="783D2DE2" w14:textId="77777777" w:rsidR="00FA7DC6" w:rsidRPr="00B57B36" w:rsidRDefault="00FA7DC6" w:rsidP="00950036">
            <w:pPr>
              <w:pStyle w:val="CETBodytext"/>
              <w:ind w:right="-1"/>
              <w:rPr>
                <w:rFonts w:cs="Arial"/>
                <w:szCs w:val="18"/>
                <w:lang w:val="en-GB"/>
              </w:rPr>
            </w:pPr>
          </w:p>
        </w:tc>
        <w:tc>
          <w:tcPr>
            <w:tcW w:w="484" w:type="dxa"/>
            <w:shd w:val="clear" w:color="auto" w:fill="FFFFFF"/>
          </w:tcPr>
          <w:p w14:paraId="5E1637E7" w14:textId="77777777" w:rsidR="00FA7DC6" w:rsidRPr="00B57B36" w:rsidRDefault="00FA7DC6" w:rsidP="00950036">
            <w:pPr>
              <w:pStyle w:val="CETBodytext"/>
              <w:ind w:right="-1"/>
              <w:rPr>
                <w:rFonts w:cs="Arial"/>
                <w:szCs w:val="18"/>
                <w:lang w:val="en-GB"/>
              </w:rPr>
            </w:pPr>
          </w:p>
        </w:tc>
        <w:tc>
          <w:tcPr>
            <w:tcW w:w="956" w:type="dxa"/>
            <w:shd w:val="clear" w:color="auto" w:fill="FFFFFF"/>
          </w:tcPr>
          <w:p w14:paraId="156B7C0D"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5782BE1C" w14:textId="77777777" w:rsidR="00FA7DC6" w:rsidRPr="00B57B36" w:rsidRDefault="00FA7DC6" w:rsidP="00950036">
            <w:pPr>
              <w:pStyle w:val="CETBodytext"/>
              <w:ind w:right="-1"/>
              <w:rPr>
                <w:rFonts w:cs="Arial"/>
                <w:szCs w:val="18"/>
                <w:lang w:val="en-GB"/>
              </w:rPr>
            </w:pPr>
            <w:r w:rsidRPr="00E67DC8">
              <w:rPr>
                <w:rFonts w:cs="Arial"/>
                <w:szCs w:val="18"/>
                <w:lang w:val="en-GB"/>
              </w:rPr>
              <w:t>C</w:t>
            </w:r>
            <w:r w:rsidRPr="00E67DC8">
              <w:rPr>
                <w:rFonts w:cs="Arial"/>
                <w:szCs w:val="18"/>
                <w:vertAlign w:val="subscript"/>
                <w:lang w:val="en-GB"/>
              </w:rPr>
              <w:t>2</w:t>
            </w:r>
            <w:r w:rsidRPr="00E67DC8">
              <w:rPr>
                <w:rFonts w:cs="Arial"/>
                <w:szCs w:val="18"/>
                <w:lang w:val="en-GB"/>
              </w:rPr>
              <w:t>H</w:t>
            </w:r>
            <w:r w:rsidRPr="00E67DC8">
              <w:rPr>
                <w:rFonts w:cs="Arial"/>
                <w:szCs w:val="18"/>
                <w:vertAlign w:val="subscript"/>
                <w:lang w:val="en-GB"/>
              </w:rPr>
              <w:t>4</w:t>
            </w:r>
            <w:r w:rsidRPr="00E67DC8">
              <w:rPr>
                <w:rFonts w:cs="Arial"/>
                <w:szCs w:val="18"/>
                <w:lang w:val="en-GB"/>
              </w:rPr>
              <w:t>O</w:t>
            </w:r>
            <w:r w:rsidR="001E5C34">
              <w:rPr>
                <w:rFonts w:cs="Arial"/>
                <w:szCs w:val="18"/>
                <w:vertAlign w:val="subscript"/>
                <w:lang w:val="en-GB"/>
              </w:rPr>
              <w:t>3</w:t>
            </w:r>
          </w:p>
        </w:tc>
        <w:tc>
          <w:tcPr>
            <w:tcW w:w="900" w:type="dxa"/>
            <w:shd w:val="clear" w:color="auto" w:fill="FFFFFF"/>
          </w:tcPr>
          <w:p w14:paraId="4DC42BA3" w14:textId="77777777" w:rsidR="00FA7DC6" w:rsidRPr="00B57B36" w:rsidRDefault="00FA7DC6" w:rsidP="00950036">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p>
        </w:tc>
        <w:tc>
          <w:tcPr>
            <w:tcW w:w="900" w:type="dxa"/>
            <w:shd w:val="clear" w:color="auto" w:fill="FFFFFF"/>
          </w:tcPr>
          <w:p w14:paraId="79CAE287"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77615ED5"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6D801314" w14:textId="77777777" w:rsidR="00FA7DC6" w:rsidRPr="00B57B36" w:rsidRDefault="00FA7DC6" w:rsidP="00950036">
            <w:pPr>
              <w:pStyle w:val="CETBodytext"/>
              <w:ind w:right="-1"/>
              <w:rPr>
                <w:rFonts w:cs="Arial"/>
                <w:szCs w:val="18"/>
                <w:lang w:val="en-GB"/>
              </w:rPr>
            </w:pPr>
          </w:p>
        </w:tc>
      </w:tr>
      <w:tr w:rsidR="00691A11" w:rsidRPr="00B57B36" w14:paraId="5AE72053" w14:textId="77777777" w:rsidTr="00691A11">
        <w:tc>
          <w:tcPr>
            <w:tcW w:w="900" w:type="dxa"/>
            <w:vMerge/>
            <w:shd w:val="clear" w:color="auto" w:fill="FFFFFF"/>
          </w:tcPr>
          <w:p w14:paraId="010B81A0" w14:textId="77777777" w:rsidR="00FA7DC6" w:rsidRPr="00B57B36" w:rsidRDefault="00FA7DC6" w:rsidP="00950036">
            <w:pPr>
              <w:pStyle w:val="CETBodytext"/>
              <w:ind w:right="-1"/>
              <w:rPr>
                <w:rFonts w:cs="Arial"/>
                <w:szCs w:val="18"/>
                <w:lang w:val="en-GB"/>
              </w:rPr>
            </w:pPr>
          </w:p>
        </w:tc>
        <w:tc>
          <w:tcPr>
            <w:tcW w:w="801" w:type="dxa"/>
            <w:shd w:val="clear" w:color="auto" w:fill="FFFFFF"/>
          </w:tcPr>
          <w:p w14:paraId="31788954" w14:textId="77777777" w:rsidR="00FA7DC6" w:rsidRPr="00B57B36" w:rsidRDefault="00FA7DC6" w:rsidP="00950036">
            <w:pPr>
              <w:pStyle w:val="CETBodytext"/>
              <w:ind w:right="-1"/>
              <w:rPr>
                <w:rFonts w:cs="Arial"/>
                <w:szCs w:val="18"/>
                <w:lang w:val="en-GB"/>
              </w:rPr>
            </w:pPr>
            <w:r w:rsidRPr="00E67DC8">
              <w:rPr>
                <w:rFonts w:cs="Arial"/>
                <w:szCs w:val="18"/>
                <w:lang w:val="en-GB"/>
              </w:rPr>
              <w:t>n=100</w:t>
            </w:r>
          </w:p>
        </w:tc>
        <w:tc>
          <w:tcPr>
            <w:tcW w:w="709" w:type="dxa"/>
            <w:shd w:val="clear" w:color="auto" w:fill="FFFFFF"/>
          </w:tcPr>
          <w:p w14:paraId="783929D0" w14:textId="77777777" w:rsidR="00FA7DC6" w:rsidRPr="00B57B36" w:rsidRDefault="00FA7DC6" w:rsidP="00950036">
            <w:pPr>
              <w:pStyle w:val="CETBodytext"/>
              <w:ind w:right="-1"/>
              <w:rPr>
                <w:rFonts w:cs="Arial"/>
                <w:szCs w:val="18"/>
                <w:lang w:val="en-GB"/>
              </w:rPr>
            </w:pPr>
            <w:r w:rsidRPr="00E67DC8">
              <w:rPr>
                <w:rFonts w:cs="Arial"/>
                <w:szCs w:val="18"/>
                <w:lang w:val="en-GB"/>
              </w:rPr>
              <w:t>n=</w:t>
            </w:r>
            <w:r>
              <w:rPr>
                <w:rFonts w:cs="Arial"/>
                <w:szCs w:val="18"/>
                <w:lang w:val="en-GB"/>
              </w:rPr>
              <w:t>75</w:t>
            </w:r>
          </w:p>
        </w:tc>
        <w:tc>
          <w:tcPr>
            <w:tcW w:w="650" w:type="dxa"/>
            <w:shd w:val="clear" w:color="auto" w:fill="FFFFFF"/>
          </w:tcPr>
          <w:p w14:paraId="44061526" w14:textId="77777777" w:rsidR="00FA7DC6" w:rsidRPr="00B57B36" w:rsidRDefault="00FA7DC6" w:rsidP="00950036">
            <w:pPr>
              <w:pStyle w:val="CETBodytext"/>
              <w:ind w:right="-1"/>
              <w:rPr>
                <w:rFonts w:cs="Arial"/>
                <w:szCs w:val="18"/>
                <w:lang w:val="en-GB"/>
              </w:rPr>
            </w:pPr>
          </w:p>
        </w:tc>
        <w:tc>
          <w:tcPr>
            <w:tcW w:w="484" w:type="dxa"/>
            <w:shd w:val="clear" w:color="auto" w:fill="FFFFFF"/>
          </w:tcPr>
          <w:p w14:paraId="38662959" w14:textId="77777777" w:rsidR="00FA7DC6" w:rsidRPr="00B57B36" w:rsidRDefault="00FA7DC6" w:rsidP="00950036">
            <w:pPr>
              <w:pStyle w:val="CETBodytext"/>
              <w:ind w:right="-1"/>
              <w:rPr>
                <w:rFonts w:cs="Arial"/>
                <w:szCs w:val="18"/>
                <w:lang w:val="en-GB"/>
              </w:rPr>
            </w:pPr>
          </w:p>
        </w:tc>
        <w:tc>
          <w:tcPr>
            <w:tcW w:w="956" w:type="dxa"/>
            <w:shd w:val="clear" w:color="auto" w:fill="FFFFFF"/>
          </w:tcPr>
          <w:p w14:paraId="424D0D4E"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2104383D" w14:textId="77777777" w:rsidR="00FA7DC6" w:rsidRPr="00B57B36" w:rsidRDefault="00FA7DC6" w:rsidP="00950036">
            <w:pPr>
              <w:pStyle w:val="CETBodytext"/>
              <w:ind w:right="-1"/>
              <w:rPr>
                <w:rFonts w:cs="Arial"/>
                <w:szCs w:val="18"/>
                <w:lang w:val="en-GB"/>
              </w:rPr>
            </w:pPr>
            <w:r w:rsidRPr="00E67DC8">
              <w:rPr>
                <w:rFonts w:cs="Arial"/>
                <w:szCs w:val="18"/>
                <w:lang w:val="en-GB"/>
              </w:rPr>
              <w:t>n=1</w:t>
            </w:r>
            <w:r>
              <w:rPr>
                <w:rFonts w:cs="Arial"/>
                <w:szCs w:val="18"/>
                <w:lang w:val="en-GB"/>
              </w:rPr>
              <w:t>50</w:t>
            </w:r>
          </w:p>
        </w:tc>
        <w:tc>
          <w:tcPr>
            <w:tcW w:w="900" w:type="dxa"/>
            <w:shd w:val="clear" w:color="auto" w:fill="FFFFFF"/>
          </w:tcPr>
          <w:p w14:paraId="39EE39E7" w14:textId="77777777" w:rsidR="00FA7DC6" w:rsidRPr="00B57B36" w:rsidRDefault="00FA7DC6" w:rsidP="00950036">
            <w:pPr>
              <w:pStyle w:val="CETBodytext"/>
              <w:ind w:right="-1"/>
              <w:rPr>
                <w:rFonts w:cs="Arial"/>
                <w:szCs w:val="18"/>
                <w:lang w:val="en-GB"/>
              </w:rPr>
            </w:pPr>
            <w:r>
              <w:rPr>
                <w:rFonts w:cs="Arial"/>
                <w:szCs w:val="18"/>
                <w:lang w:val="en-GB"/>
              </w:rPr>
              <w:t>n=100</w:t>
            </w:r>
          </w:p>
        </w:tc>
        <w:tc>
          <w:tcPr>
            <w:tcW w:w="900" w:type="dxa"/>
            <w:shd w:val="clear" w:color="auto" w:fill="FFFFFF"/>
          </w:tcPr>
          <w:p w14:paraId="0330202C"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684EF5DF"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383B6D91" w14:textId="77777777" w:rsidR="00FA7DC6" w:rsidRPr="00B57B36" w:rsidRDefault="00FA7DC6" w:rsidP="00950036">
            <w:pPr>
              <w:pStyle w:val="CETBodytext"/>
              <w:ind w:right="-1"/>
              <w:rPr>
                <w:rFonts w:cs="Arial"/>
                <w:szCs w:val="18"/>
                <w:lang w:val="en-GB"/>
              </w:rPr>
            </w:pPr>
          </w:p>
        </w:tc>
      </w:tr>
      <w:tr w:rsidR="00691A11" w:rsidRPr="00B57B36" w14:paraId="0FA8AD5E" w14:textId="77777777" w:rsidTr="00691A11">
        <w:tc>
          <w:tcPr>
            <w:tcW w:w="900" w:type="dxa"/>
            <w:shd w:val="clear" w:color="auto" w:fill="FFFFFF"/>
          </w:tcPr>
          <w:p w14:paraId="6FD00962" w14:textId="77777777" w:rsidR="00FA7DC6" w:rsidRPr="00B57B36" w:rsidRDefault="00FA7DC6" w:rsidP="00950036">
            <w:pPr>
              <w:pStyle w:val="CETBodytext"/>
              <w:ind w:right="-1"/>
              <w:rPr>
                <w:rFonts w:cs="Arial"/>
                <w:szCs w:val="18"/>
                <w:lang w:val="en-GB"/>
              </w:rPr>
            </w:pPr>
          </w:p>
        </w:tc>
        <w:tc>
          <w:tcPr>
            <w:tcW w:w="801" w:type="dxa"/>
            <w:shd w:val="clear" w:color="auto" w:fill="FFFFFF"/>
          </w:tcPr>
          <w:p w14:paraId="1B04F0C3" w14:textId="77777777" w:rsidR="00FA7DC6" w:rsidRPr="00B57B36" w:rsidRDefault="00FA7DC6" w:rsidP="00950036">
            <w:pPr>
              <w:pStyle w:val="CETBodytext"/>
              <w:ind w:right="-1"/>
              <w:rPr>
                <w:rFonts w:cs="Arial"/>
                <w:szCs w:val="18"/>
                <w:lang w:val="en-GB"/>
              </w:rPr>
            </w:pPr>
          </w:p>
        </w:tc>
        <w:tc>
          <w:tcPr>
            <w:tcW w:w="709" w:type="dxa"/>
            <w:shd w:val="clear" w:color="auto" w:fill="FFFFFF"/>
          </w:tcPr>
          <w:p w14:paraId="27951B91" w14:textId="77777777" w:rsidR="00FA7DC6" w:rsidRPr="00B57B36" w:rsidRDefault="00FA7DC6" w:rsidP="00950036">
            <w:pPr>
              <w:pStyle w:val="CETBodytext"/>
              <w:ind w:right="-1"/>
              <w:rPr>
                <w:rFonts w:cs="Arial"/>
                <w:szCs w:val="18"/>
                <w:lang w:val="en-GB"/>
              </w:rPr>
            </w:pPr>
          </w:p>
        </w:tc>
        <w:tc>
          <w:tcPr>
            <w:tcW w:w="650" w:type="dxa"/>
            <w:shd w:val="clear" w:color="auto" w:fill="FFFFFF"/>
          </w:tcPr>
          <w:p w14:paraId="1E4F6265" w14:textId="77777777" w:rsidR="00FA7DC6" w:rsidRPr="00B57B36" w:rsidRDefault="00FA7DC6" w:rsidP="00950036">
            <w:pPr>
              <w:pStyle w:val="CETBodytext"/>
              <w:ind w:right="-1"/>
              <w:rPr>
                <w:rFonts w:cs="Arial"/>
                <w:szCs w:val="18"/>
                <w:lang w:val="en-GB"/>
              </w:rPr>
            </w:pPr>
          </w:p>
        </w:tc>
        <w:tc>
          <w:tcPr>
            <w:tcW w:w="484" w:type="dxa"/>
            <w:shd w:val="clear" w:color="auto" w:fill="FFFFFF"/>
          </w:tcPr>
          <w:p w14:paraId="667E7290" w14:textId="77777777" w:rsidR="00FA7DC6" w:rsidRPr="00B57B36" w:rsidRDefault="00FA7DC6" w:rsidP="00950036">
            <w:pPr>
              <w:pStyle w:val="CETBodytext"/>
              <w:ind w:right="-1"/>
              <w:rPr>
                <w:rFonts w:cs="Arial"/>
                <w:szCs w:val="18"/>
                <w:lang w:val="en-GB"/>
              </w:rPr>
            </w:pPr>
          </w:p>
        </w:tc>
        <w:tc>
          <w:tcPr>
            <w:tcW w:w="956" w:type="dxa"/>
            <w:shd w:val="clear" w:color="auto" w:fill="FFFFFF"/>
          </w:tcPr>
          <w:p w14:paraId="1BFDEF28"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77CC9A22"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7F420AED"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23AA1A9D"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4FCBBDE5" w14:textId="77777777" w:rsidR="00FA7DC6" w:rsidRPr="00B57B36" w:rsidRDefault="00FA7DC6" w:rsidP="00950036">
            <w:pPr>
              <w:pStyle w:val="CETBodytext"/>
              <w:ind w:right="-1"/>
              <w:rPr>
                <w:rFonts w:cs="Arial"/>
                <w:szCs w:val="18"/>
                <w:lang w:val="en-GB"/>
              </w:rPr>
            </w:pPr>
          </w:p>
        </w:tc>
        <w:tc>
          <w:tcPr>
            <w:tcW w:w="720" w:type="dxa"/>
            <w:shd w:val="clear" w:color="auto" w:fill="FFFFFF"/>
          </w:tcPr>
          <w:p w14:paraId="5640D142" w14:textId="77777777" w:rsidR="00FA7DC6" w:rsidRPr="00B57B36" w:rsidRDefault="00FA7DC6" w:rsidP="00950036">
            <w:pPr>
              <w:pStyle w:val="CETBodytext"/>
              <w:ind w:right="-1"/>
              <w:rPr>
                <w:rFonts w:cs="Arial"/>
                <w:szCs w:val="18"/>
                <w:lang w:val="en-GB"/>
              </w:rPr>
            </w:pPr>
          </w:p>
        </w:tc>
      </w:tr>
      <w:tr w:rsidR="00691A11" w:rsidRPr="00B57B36" w14:paraId="23B2D808" w14:textId="77777777" w:rsidTr="00691A11">
        <w:tc>
          <w:tcPr>
            <w:tcW w:w="900" w:type="dxa"/>
            <w:vMerge w:val="restart"/>
            <w:shd w:val="clear" w:color="auto" w:fill="FFFFFF"/>
            <w:vAlign w:val="center"/>
          </w:tcPr>
          <w:p w14:paraId="550FA133" w14:textId="77777777" w:rsidR="00FA7DC6" w:rsidRPr="00B57B36" w:rsidRDefault="00FA7DC6" w:rsidP="001C3E00">
            <w:pPr>
              <w:pStyle w:val="CETBodytext"/>
              <w:ind w:right="-1"/>
              <w:jc w:val="left"/>
              <w:rPr>
                <w:rFonts w:cs="Arial"/>
                <w:szCs w:val="18"/>
                <w:lang w:val="en-GB"/>
              </w:rPr>
            </w:pPr>
            <w:r>
              <w:rPr>
                <w:rFonts w:cs="Arial"/>
                <w:szCs w:val="18"/>
                <w:lang w:val="en-GB"/>
              </w:rPr>
              <w:t>3</w:t>
            </w:r>
          </w:p>
        </w:tc>
        <w:tc>
          <w:tcPr>
            <w:tcW w:w="801" w:type="dxa"/>
            <w:shd w:val="clear" w:color="auto" w:fill="FFFFFF"/>
          </w:tcPr>
          <w:p w14:paraId="53A80841" w14:textId="77777777" w:rsidR="00FA7DC6" w:rsidRPr="00B57B36" w:rsidRDefault="00FA7DC6" w:rsidP="00950036">
            <w:pPr>
              <w:pStyle w:val="CETBodytext"/>
              <w:ind w:right="-1"/>
              <w:rPr>
                <w:rFonts w:cs="Arial"/>
                <w:szCs w:val="18"/>
                <w:lang w:val="en-GB"/>
              </w:rPr>
            </w:pPr>
            <w:r w:rsidRPr="00E67DC8">
              <w:rPr>
                <w:lang w:val="en-GB"/>
              </w:rPr>
              <w:t>C</w:t>
            </w:r>
            <w:r w:rsidRPr="00E67DC8">
              <w:rPr>
                <w:rFonts w:ascii="Cambria Math" w:hAnsi="Cambria Math" w:cs="Cambria Math"/>
                <w:lang w:val="en-GB"/>
              </w:rPr>
              <w:t>₃</w:t>
            </w:r>
            <w:r w:rsidRPr="00E67DC8">
              <w:rPr>
                <w:lang w:val="en-GB"/>
              </w:rPr>
              <w:t>H</w:t>
            </w:r>
            <w:r w:rsidRPr="00E67DC8">
              <w:rPr>
                <w:rFonts w:ascii="Cambria Math" w:hAnsi="Cambria Math" w:cs="Cambria Math"/>
                <w:lang w:val="en-GB"/>
              </w:rPr>
              <w:t>₈</w:t>
            </w:r>
            <w:r w:rsidRPr="00E67DC8">
              <w:rPr>
                <w:lang w:val="en-GB"/>
              </w:rPr>
              <w:t>O</w:t>
            </w:r>
            <w:r w:rsidRPr="00E67DC8">
              <w:rPr>
                <w:rFonts w:ascii="Cambria Math" w:hAnsi="Cambria Math" w:cs="Cambria Math"/>
                <w:lang w:val="en-GB"/>
              </w:rPr>
              <w:t>₃</w:t>
            </w:r>
          </w:p>
        </w:tc>
        <w:tc>
          <w:tcPr>
            <w:tcW w:w="709" w:type="dxa"/>
            <w:shd w:val="clear" w:color="auto" w:fill="FFFFFF"/>
          </w:tcPr>
          <w:p w14:paraId="70518093" w14:textId="77777777" w:rsidR="00FA7DC6" w:rsidRPr="00B57B36" w:rsidRDefault="00FA7DC6" w:rsidP="00950036">
            <w:pPr>
              <w:pStyle w:val="CETBodytext"/>
              <w:ind w:right="-1"/>
              <w:rPr>
                <w:rFonts w:cs="Arial"/>
                <w:szCs w:val="18"/>
                <w:lang w:val="en-GB"/>
              </w:rPr>
            </w:pPr>
            <w:r w:rsidRPr="00E67DC8">
              <w:rPr>
                <w:rFonts w:cs="Arial"/>
                <w:szCs w:val="18"/>
                <w:lang w:val="en-GB"/>
              </w:rPr>
              <w:t>O</w:t>
            </w:r>
            <w:r w:rsidRPr="00E67DC8">
              <w:rPr>
                <w:rFonts w:cs="Arial"/>
                <w:szCs w:val="18"/>
                <w:vertAlign w:val="subscript"/>
                <w:lang w:val="en-GB"/>
              </w:rPr>
              <w:t>2</w:t>
            </w:r>
          </w:p>
        </w:tc>
        <w:tc>
          <w:tcPr>
            <w:tcW w:w="650" w:type="dxa"/>
            <w:shd w:val="clear" w:color="auto" w:fill="FFFFFF"/>
          </w:tcPr>
          <w:p w14:paraId="01BE74E0" w14:textId="77777777" w:rsidR="00FA7DC6" w:rsidRPr="00B57B36" w:rsidRDefault="00FA7DC6" w:rsidP="00950036">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r>
              <w:rPr>
                <w:rFonts w:cs="Arial"/>
                <w:szCs w:val="18"/>
                <w:lang w:val="en-GB"/>
              </w:rPr>
              <w:t>O</w:t>
            </w:r>
          </w:p>
        </w:tc>
        <w:tc>
          <w:tcPr>
            <w:tcW w:w="484" w:type="dxa"/>
            <w:shd w:val="clear" w:color="auto" w:fill="FFFFFF"/>
          </w:tcPr>
          <w:p w14:paraId="02967764" w14:textId="77777777" w:rsidR="00FA7DC6" w:rsidRPr="00B57B36" w:rsidRDefault="00FA7DC6" w:rsidP="00950036">
            <w:pPr>
              <w:pStyle w:val="CETBodytext"/>
              <w:ind w:right="-1"/>
              <w:rPr>
                <w:rFonts w:cs="Arial"/>
                <w:szCs w:val="18"/>
                <w:lang w:val="en-GB"/>
              </w:rPr>
            </w:pPr>
          </w:p>
        </w:tc>
        <w:tc>
          <w:tcPr>
            <w:tcW w:w="956" w:type="dxa"/>
            <w:shd w:val="clear" w:color="auto" w:fill="FFFFFF"/>
          </w:tcPr>
          <w:p w14:paraId="616EEBC7"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775827D2" w14:textId="77777777" w:rsidR="00FA7DC6" w:rsidRPr="00B57B36" w:rsidRDefault="00FA7DC6" w:rsidP="00950036">
            <w:pPr>
              <w:pStyle w:val="CETBodytext"/>
              <w:ind w:right="-1"/>
              <w:rPr>
                <w:rFonts w:cs="Arial"/>
                <w:szCs w:val="18"/>
                <w:lang w:val="en-GB"/>
              </w:rPr>
            </w:pPr>
            <w:r w:rsidRPr="00456B6E">
              <w:rPr>
                <w:rFonts w:cs="Arial"/>
                <w:szCs w:val="18"/>
                <w:lang w:val="en-GB"/>
              </w:rPr>
              <w:t>CH</w:t>
            </w:r>
            <w:r w:rsidRPr="00456B6E">
              <w:rPr>
                <w:rFonts w:cs="Arial"/>
                <w:szCs w:val="18"/>
                <w:vertAlign w:val="subscript"/>
                <w:lang w:val="en-GB"/>
              </w:rPr>
              <w:t>2</w:t>
            </w:r>
            <w:r w:rsidRPr="00456B6E">
              <w:rPr>
                <w:rFonts w:cs="Arial"/>
                <w:szCs w:val="18"/>
                <w:lang w:val="en-GB"/>
              </w:rPr>
              <w:t>O</w:t>
            </w:r>
            <w:r>
              <w:rPr>
                <w:rFonts w:cs="Arial"/>
                <w:szCs w:val="18"/>
                <w:vertAlign w:val="subscript"/>
                <w:lang w:val="en-GB"/>
              </w:rPr>
              <w:t>2</w:t>
            </w:r>
          </w:p>
        </w:tc>
        <w:tc>
          <w:tcPr>
            <w:tcW w:w="900" w:type="dxa"/>
            <w:shd w:val="clear" w:color="auto" w:fill="FFFFFF"/>
          </w:tcPr>
          <w:p w14:paraId="0BFCA97D" w14:textId="77777777" w:rsidR="00FA7DC6" w:rsidRPr="00B57B36" w:rsidRDefault="00FA7DC6" w:rsidP="00950036">
            <w:pPr>
              <w:pStyle w:val="CETBodytext"/>
              <w:ind w:right="-1"/>
              <w:rPr>
                <w:rFonts w:cs="Arial"/>
                <w:szCs w:val="18"/>
                <w:lang w:val="en-GB"/>
              </w:rPr>
            </w:pPr>
            <w:r w:rsidRPr="00E67DC8">
              <w:rPr>
                <w:rFonts w:cs="Arial"/>
                <w:szCs w:val="18"/>
                <w:lang w:val="en-GB"/>
              </w:rPr>
              <w:t>C</w:t>
            </w:r>
            <w:r w:rsidRPr="00E67DC8">
              <w:rPr>
                <w:rFonts w:cs="Arial"/>
                <w:szCs w:val="18"/>
                <w:vertAlign w:val="subscript"/>
                <w:lang w:val="en-GB"/>
              </w:rPr>
              <w:t>2</w:t>
            </w:r>
            <w:r w:rsidRPr="00E67DC8">
              <w:rPr>
                <w:rFonts w:cs="Arial"/>
                <w:szCs w:val="18"/>
                <w:lang w:val="en-GB"/>
              </w:rPr>
              <w:t>H</w:t>
            </w:r>
            <w:r w:rsidRPr="00E67DC8">
              <w:rPr>
                <w:rFonts w:cs="Arial"/>
                <w:szCs w:val="18"/>
                <w:vertAlign w:val="subscript"/>
                <w:lang w:val="en-GB"/>
              </w:rPr>
              <w:t>4</w:t>
            </w:r>
            <w:r w:rsidRPr="00E67DC8">
              <w:rPr>
                <w:rFonts w:cs="Arial"/>
                <w:szCs w:val="18"/>
                <w:lang w:val="en-GB"/>
              </w:rPr>
              <w:t>O</w:t>
            </w:r>
            <w:r w:rsidRPr="00E67DC8">
              <w:rPr>
                <w:rFonts w:cs="Arial"/>
                <w:szCs w:val="18"/>
                <w:vertAlign w:val="subscript"/>
                <w:lang w:val="en-GB"/>
              </w:rPr>
              <w:t>3</w:t>
            </w:r>
          </w:p>
        </w:tc>
        <w:tc>
          <w:tcPr>
            <w:tcW w:w="900" w:type="dxa"/>
            <w:shd w:val="clear" w:color="auto" w:fill="FFFFFF"/>
          </w:tcPr>
          <w:p w14:paraId="76FEE02C" w14:textId="77777777" w:rsidR="00FA7DC6" w:rsidRPr="00B57B36" w:rsidRDefault="00FA7DC6" w:rsidP="00950036">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p>
        </w:tc>
        <w:tc>
          <w:tcPr>
            <w:tcW w:w="720" w:type="dxa"/>
            <w:shd w:val="clear" w:color="auto" w:fill="FFFFFF"/>
          </w:tcPr>
          <w:p w14:paraId="2AEAE7EE" w14:textId="77777777" w:rsidR="00FA7DC6" w:rsidRDefault="00FA7DC6" w:rsidP="00950036">
            <w:pPr>
              <w:pStyle w:val="CETBodytext"/>
              <w:ind w:right="-1"/>
              <w:rPr>
                <w:rFonts w:cs="Arial"/>
                <w:szCs w:val="18"/>
                <w:lang w:val="en-GB"/>
              </w:rPr>
            </w:pPr>
          </w:p>
        </w:tc>
        <w:tc>
          <w:tcPr>
            <w:tcW w:w="720" w:type="dxa"/>
            <w:shd w:val="clear" w:color="auto" w:fill="FFFFFF"/>
          </w:tcPr>
          <w:p w14:paraId="10D05753" w14:textId="77777777" w:rsidR="00FA7DC6" w:rsidRDefault="00FA7DC6" w:rsidP="00950036">
            <w:pPr>
              <w:pStyle w:val="CETBodytext"/>
              <w:ind w:right="-1"/>
              <w:rPr>
                <w:rFonts w:cs="Arial"/>
                <w:szCs w:val="18"/>
                <w:lang w:val="en-GB"/>
              </w:rPr>
            </w:pPr>
          </w:p>
        </w:tc>
      </w:tr>
      <w:tr w:rsidR="00691A11" w:rsidRPr="00B57B36" w14:paraId="6C89D2EE" w14:textId="77777777" w:rsidTr="00691A11">
        <w:tc>
          <w:tcPr>
            <w:tcW w:w="900" w:type="dxa"/>
            <w:vMerge/>
            <w:shd w:val="clear" w:color="auto" w:fill="FFFFFF"/>
          </w:tcPr>
          <w:p w14:paraId="1F166C52" w14:textId="77777777" w:rsidR="00FA7DC6" w:rsidRPr="00B57B36" w:rsidRDefault="00FA7DC6" w:rsidP="00950036">
            <w:pPr>
              <w:pStyle w:val="CETBodytext"/>
              <w:ind w:right="-1"/>
              <w:rPr>
                <w:rFonts w:cs="Arial"/>
                <w:szCs w:val="18"/>
                <w:lang w:val="en-GB"/>
              </w:rPr>
            </w:pPr>
          </w:p>
        </w:tc>
        <w:tc>
          <w:tcPr>
            <w:tcW w:w="801" w:type="dxa"/>
            <w:shd w:val="clear" w:color="auto" w:fill="FFFFFF"/>
          </w:tcPr>
          <w:p w14:paraId="3A464F38" w14:textId="77777777" w:rsidR="00FA7DC6" w:rsidRPr="00B57B36" w:rsidRDefault="00FA7DC6" w:rsidP="00950036">
            <w:pPr>
              <w:pStyle w:val="CETBodytext"/>
              <w:ind w:right="-1"/>
              <w:rPr>
                <w:rFonts w:cs="Arial"/>
                <w:szCs w:val="18"/>
                <w:lang w:val="en-GB"/>
              </w:rPr>
            </w:pPr>
            <w:r w:rsidRPr="00E67DC8">
              <w:rPr>
                <w:rFonts w:cs="Arial"/>
                <w:szCs w:val="18"/>
                <w:lang w:val="en-GB"/>
              </w:rPr>
              <w:t>n=100</w:t>
            </w:r>
          </w:p>
        </w:tc>
        <w:tc>
          <w:tcPr>
            <w:tcW w:w="709" w:type="dxa"/>
            <w:shd w:val="clear" w:color="auto" w:fill="FFFFFF"/>
          </w:tcPr>
          <w:p w14:paraId="3659F17C" w14:textId="3CBAF157" w:rsidR="00FA7DC6" w:rsidRPr="00B57B36" w:rsidRDefault="00FA7DC6" w:rsidP="00950036">
            <w:pPr>
              <w:pStyle w:val="CETBodytext"/>
              <w:ind w:right="-1"/>
              <w:rPr>
                <w:rFonts w:cs="Arial"/>
                <w:szCs w:val="18"/>
                <w:lang w:val="en-GB"/>
              </w:rPr>
            </w:pPr>
            <w:r w:rsidRPr="00E67DC8">
              <w:rPr>
                <w:rFonts w:cs="Arial"/>
                <w:szCs w:val="18"/>
                <w:lang w:val="en-GB"/>
              </w:rPr>
              <w:t>n=</w:t>
            </w:r>
            <w:r w:rsidR="006C6A0E">
              <w:rPr>
                <w:rFonts w:cs="Arial"/>
                <w:szCs w:val="18"/>
                <w:lang w:val="en-GB"/>
              </w:rPr>
              <w:t>35,5</w:t>
            </w:r>
          </w:p>
        </w:tc>
        <w:tc>
          <w:tcPr>
            <w:tcW w:w="650" w:type="dxa"/>
            <w:shd w:val="clear" w:color="auto" w:fill="FFFFFF"/>
          </w:tcPr>
          <w:p w14:paraId="3391E93B" w14:textId="77777777" w:rsidR="00FA7DC6" w:rsidRPr="00B57B36" w:rsidRDefault="00FA7DC6" w:rsidP="00950036">
            <w:pPr>
              <w:pStyle w:val="CETBodytext"/>
              <w:ind w:right="-1"/>
              <w:rPr>
                <w:rFonts w:cs="Arial"/>
                <w:szCs w:val="18"/>
                <w:lang w:val="en-GB"/>
              </w:rPr>
            </w:pPr>
            <w:r>
              <w:rPr>
                <w:rFonts w:cs="Arial"/>
                <w:szCs w:val="18"/>
                <w:lang w:val="en-GB"/>
              </w:rPr>
              <w:t>n=100</w:t>
            </w:r>
          </w:p>
        </w:tc>
        <w:tc>
          <w:tcPr>
            <w:tcW w:w="484" w:type="dxa"/>
            <w:shd w:val="clear" w:color="auto" w:fill="FFFFFF"/>
          </w:tcPr>
          <w:p w14:paraId="7FAD4556" w14:textId="77777777" w:rsidR="00FA7DC6" w:rsidRPr="00B57B36" w:rsidRDefault="00FA7DC6" w:rsidP="00950036">
            <w:pPr>
              <w:pStyle w:val="CETBodytext"/>
              <w:ind w:right="-1"/>
              <w:rPr>
                <w:rFonts w:cs="Arial"/>
                <w:szCs w:val="18"/>
                <w:lang w:val="en-GB"/>
              </w:rPr>
            </w:pPr>
          </w:p>
        </w:tc>
        <w:tc>
          <w:tcPr>
            <w:tcW w:w="956" w:type="dxa"/>
            <w:shd w:val="clear" w:color="auto" w:fill="FFFFFF"/>
          </w:tcPr>
          <w:p w14:paraId="3549EA55"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6FAF7C8B" w14:textId="77777777" w:rsidR="00FA7DC6" w:rsidRPr="00B57B36" w:rsidRDefault="00FA7DC6" w:rsidP="00950036">
            <w:pPr>
              <w:pStyle w:val="CETBodytext"/>
              <w:ind w:right="-1"/>
              <w:rPr>
                <w:rFonts w:cs="Arial"/>
                <w:szCs w:val="18"/>
                <w:lang w:val="en-GB"/>
              </w:rPr>
            </w:pPr>
            <w:r w:rsidRPr="00456B6E">
              <w:rPr>
                <w:rFonts w:cs="Arial"/>
                <w:szCs w:val="18"/>
                <w:lang w:val="en-GB"/>
              </w:rPr>
              <w:t>n=41</w:t>
            </w:r>
            <w:r>
              <w:rPr>
                <w:rFonts w:cs="Arial"/>
                <w:szCs w:val="18"/>
                <w:lang w:val="en-GB"/>
              </w:rPr>
              <w:t>.</w:t>
            </w:r>
            <w:r w:rsidRPr="00456B6E">
              <w:rPr>
                <w:rFonts w:cs="Arial"/>
                <w:szCs w:val="18"/>
                <w:lang w:val="en-GB"/>
              </w:rPr>
              <w:t>82</w:t>
            </w:r>
          </w:p>
        </w:tc>
        <w:tc>
          <w:tcPr>
            <w:tcW w:w="900" w:type="dxa"/>
            <w:shd w:val="clear" w:color="auto" w:fill="FFFFFF"/>
          </w:tcPr>
          <w:p w14:paraId="3A49CD25" w14:textId="77777777" w:rsidR="00FA7DC6" w:rsidRPr="00B57B36" w:rsidRDefault="00FA7DC6" w:rsidP="00950036">
            <w:pPr>
              <w:pStyle w:val="CETBodytext"/>
              <w:ind w:right="-1"/>
              <w:rPr>
                <w:rFonts w:cs="Arial"/>
                <w:szCs w:val="18"/>
                <w:lang w:val="en-GB"/>
              </w:rPr>
            </w:pPr>
            <w:r w:rsidRPr="00E67DC8">
              <w:rPr>
                <w:rFonts w:cs="Arial"/>
                <w:szCs w:val="18"/>
                <w:lang w:val="en-GB"/>
              </w:rPr>
              <w:t>n=1</w:t>
            </w:r>
            <w:r>
              <w:rPr>
                <w:rFonts w:cs="Arial"/>
                <w:szCs w:val="18"/>
                <w:lang w:val="en-GB"/>
              </w:rPr>
              <w:t>29.10</w:t>
            </w:r>
          </w:p>
        </w:tc>
        <w:tc>
          <w:tcPr>
            <w:tcW w:w="900" w:type="dxa"/>
            <w:shd w:val="clear" w:color="auto" w:fill="FFFFFF"/>
          </w:tcPr>
          <w:p w14:paraId="3C4FC69B" w14:textId="77777777" w:rsidR="00FA7DC6" w:rsidRPr="00B57B36" w:rsidRDefault="00FA7DC6" w:rsidP="00950036">
            <w:pPr>
              <w:pStyle w:val="CETBodytext"/>
              <w:ind w:right="-1"/>
              <w:rPr>
                <w:rFonts w:cs="Arial"/>
                <w:szCs w:val="18"/>
                <w:lang w:val="en-GB"/>
              </w:rPr>
            </w:pPr>
            <w:r>
              <w:rPr>
                <w:rFonts w:cs="Arial"/>
                <w:szCs w:val="18"/>
                <w:lang w:val="en-GB"/>
              </w:rPr>
              <w:t>n=200</w:t>
            </w:r>
          </w:p>
        </w:tc>
        <w:tc>
          <w:tcPr>
            <w:tcW w:w="720" w:type="dxa"/>
            <w:shd w:val="clear" w:color="auto" w:fill="FFFFFF"/>
          </w:tcPr>
          <w:p w14:paraId="5B82EAB2" w14:textId="77777777" w:rsidR="00FA7DC6" w:rsidRDefault="00FA7DC6" w:rsidP="00950036">
            <w:pPr>
              <w:pStyle w:val="CETBodytext"/>
              <w:ind w:right="-1"/>
              <w:rPr>
                <w:rFonts w:cs="Arial"/>
                <w:szCs w:val="18"/>
                <w:lang w:val="en-GB"/>
              </w:rPr>
            </w:pPr>
          </w:p>
        </w:tc>
        <w:tc>
          <w:tcPr>
            <w:tcW w:w="720" w:type="dxa"/>
            <w:shd w:val="clear" w:color="auto" w:fill="FFFFFF"/>
          </w:tcPr>
          <w:p w14:paraId="487285F5" w14:textId="77777777" w:rsidR="00FA7DC6" w:rsidRDefault="00FA7DC6" w:rsidP="00950036">
            <w:pPr>
              <w:pStyle w:val="CETBodytext"/>
              <w:ind w:right="-1"/>
              <w:rPr>
                <w:rFonts w:cs="Arial"/>
                <w:szCs w:val="18"/>
                <w:lang w:val="en-GB"/>
              </w:rPr>
            </w:pPr>
          </w:p>
        </w:tc>
      </w:tr>
      <w:tr w:rsidR="00691A11" w:rsidRPr="00B57B36" w14:paraId="753FE106" w14:textId="77777777" w:rsidTr="00691A11">
        <w:tc>
          <w:tcPr>
            <w:tcW w:w="900" w:type="dxa"/>
            <w:shd w:val="clear" w:color="auto" w:fill="FFFFFF"/>
          </w:tcPr>
          <w:p w14:paraId="7E6DE6DF" w14:textId="77777777" w:rsidR="00FA7DC6" w:rsidRPr="00B57B36" w:rsidRDefault="00FA7DC6" w:rsidP="00950036">
            <w:pPr>
              <w:pStyle w:val="CETBodytext"/>
              <w:ind w:right="-1"/>
              <w:rPr>
                <w:rFonts w:cs="Arial"/>
                <w:szCs w:val="18"/>
                <w:lang w:val="en-GB"/>
              </w:rPr>
            </w:pPr>
          </w:p>
        </w:tc>
        <w:tc>
          <w:tcPr>
            <w:tcW w:w="801" w:type="dxa"/>
            <w:shd w:val="clear" w:color="auto" w:fill="FFFFFF"/>
          </w:tcPr>
          <w:p w14:paraId="593F074D" w14:textId="77777777" w:rsidR="00FA7DC6" w:rsidRPr="00E67DC8" w:rsidRDefault="00FA7DC6" w:rsidP="00950036">
            <w:pPr>
              <w:pStyle w:val="CETBodytext"/>
              <w:ind w:right="-1"/>
              <w:rPr>
                <w:rFonts w:cs="Arial"/>
                <w:szCs w:val="18"/>
                <w:lang w:val="en-GB"/>
              </w:rPr>
            </w:pPr>
          </w:p>
        </w:tc>
        <w:tc>
          <w:tcPr>
            <w:tcW w:w="709" w:type="dxa"/>
            <w:shd w:val="clear" w:color="auto" w:fill="FFFFFF"/>
          </w:tcPr>
          <w:p w14:paraId="6207EC6A" w14:textId="77777777" w:rsidR="00FA7DC6" w:rsidRPr="00E67DC8" w:rsidRDefault="00FA7DC6" w:rsidP="00950036">
            <w:pPr>
              <w:pStyle w:val="CETBodytext"/>
              <w:ind w:right="-1"/>
              <w:rPr>
                <w:rFonts w:cs="Arial"/>
                <w:szCs w:val="18"/>
                <w:lang w:val="en-GB"/>
              </w:rPr>
            </w:pPr>
          </w:p>
        </w:tc>
        <w:tc>
          <w:tcPr>
            <w:tcW w:w="650" w:type="dxa"/>
            <w:shd w:val="clear" w:color="auto" w:fill="FFFFFF"/>
          </w:tcPr>
          <w:p w14:paraId="6505775F" w14:textId="77777777" w:rsidR="00FA7DC6" w:rsidRDefault="00FA7DC6" w:rsidP="00950036">
            <w:pPr>
              <w:pStyle w:val="CETBodytext"/>
              <w:ind w:right="-1"/>
              <w:rPr>
                <w:rFonts w:cs="Arial"/>
                <w:szCs w:val="18"/>
                <w:lang w:val="en-GB"/>
              </w:rPr>
            </w:pPr>
          </w:p>
        </w:tc>
        <w:tc>
          <w:tcPr>
            <w:tcW w:w="484" w:type="dxa"/>
            <w:shd w:val="clear" w:color="auto" w:fill="FFFFFF"/>
          </w:tcPr>
          <w:p w14:paraId="1DC161B0" w14:textId="77777777" w:rsidR="00FA7DC6" w:rsidRPr="00B57B36" w:rsidRDefault="00FA7DC6" w:rsidP="00950036">
            <w:pPr>
              <w:pStyle w:val="CETBodytext"/>
              <w:ind w:right="-1"/>
              <w:rPr>
                <w:rFonts w:cs="Arial"/>
                <w:szCs w:val="18"/>
                <w:lang w:val="en-GB"/>
              </w:rPr>
            </w:pPr>
          </w:p>
        </w:tc>
        <w:tc>
          <w:tcPr>
            <w:tcW w:w="956" w:type="dxa"/>
            <w:shd w:val="clear" w:color="auto" w:fill="FFFFFF"/>
          </w:tcPr>
          <w:p w14:paraId="1ECD5F2D" w14:textId="77777777" w:rsidR="00FA7DC6" w:rsidRPr="00B57B36" w:rsidRDefault="00FA7DC6" w:rsidP="00950036">
            <w:pPr>
              <w:pStyle w:val="CETBodytext"/>
              <w:ind w:right="-1"/>
              <w:rPr>
                <w:rFonts w:cs="Arial"/>
                <w:szCs w:val="18"/>
                <w:lang w:val="en-GB"/>
              </w:rPr>
            </w:pPr>
          </w:p>
        </w:tc>
        <w:tc>
          <w:tcPr>
            <w:tcW w:w="900" w:type="dxa"/>
            <w:shd w:val="clear" w:color="auto" w:fill="FFFFFF"/>
          </w:tcPr>
          <w:p w14:paraId="47C90AB4" w14:textId="77777777" w:rsidR="00FA7DC6" w:rsidRPr="00456B6E" w:rsidRDefault="00FA7DC6" w:rsidP="00950036">
            <w:pPr>
              <w:pStyle w:val="CETBodytext"/>
              <w:ind w:right="-1"/>
              <w:rPr>
                <w:rFonts w:cs="Arial"/>
                <w:szCs w:val="18"/>
                <w:lang w:val="en-GB"/>
              </w:rPr>
            </w:pPr>
          </w:p>
        </w:tc>
        <w:tc>
          <w:tcPr>
            <w:tcW w:w="900" w:type="dxa"/>
            <w:shd w:val="clear" w:color="auto" w:fill="FFFFFF"/>
          </w:tcPr>
          <w:p w14:paraId="06AC6E91" w14:textId="77777777" w:rsidR="00FA7DC6" w:rsidRPr="00E67DC8" w:rsidRDefault="00FA7DC6" w:rsidP="00950036">
            <w:pPr>
              <w:pStyle w:val="CETBodytext"/>
              <w:ind w:right="-1"/>
              <w:rPr>
                <w:rFonts w:cs="Arial"/>
                <w:szCs w:val="18"/>
                <w:lang w:val="en-GB"/>
              </w:rPr>
            </w:pPr>
          </w:p>
        </w:tc>
        <w:tc>
          <w:tcPr>
            <w:tcW w:w="900" w:type="dxa"/>
            <w:shd w:val="clear" w:color="auto" w:fill="FFFFFF"/>
          </w:tcPr>
          <w:p w14:paraId="201A559E" w14:textId="77777777" w:rsidR="00FA7DC6" w:rsidRDefault="00FA7DC6" w:rsidP="00950036">
            <w:pPr>
              <w:pStyle w:val="CETBodytext"/>
              <w:ind w:right="-1"/>
              <w:rPr>
                <w:rFonts w:cs="Arial"/>
                <w:szCs w:val="18"/>
                <w:lang w:val="en-GB"/>
              </w:rPr>
            </w:pPr>
          </w:p>
        </w:tc>
        <w:tc>
          <w:tcPr>
            <w:tcW w:w="720" w:type="dxa"/>
            <w:shd w:val="clear" w:color="auto" w:fill="FFFFFF"/>
          </w:tcPr>
          <w:p w14:paraId="2D5356EE" w14:textId="77777777" w:rsidR="00FA7DC6" w:rsidRDefault="00FA7DC6" w:rsidP="00950036">
            <w:pPr>
              <w:pStyle w:val="CETBodytext"/>
              <w:ind w:right="-1"/>
              <w:rPr>
                <w:rFonts w:cs="Arial"/>
                <w:szCs w:val="18"/>
                <w:lang w:val="en-GB"/>
              </w:rPr>
            </w:pPr>
          </w:p>
        </w:tc>
        <w:tc>
          <w:tcPr>
            <w:tcW w:w="720" w:type="dxa"/>
            <w:shd w:val="clear" w:color="auto" w:fill="FFFFFF"/>
          </w:tcPr>
          <w:p w14:paraId="713ABBB4" w14:textId="77777777" w:rsidR="00FA7DC6" w:rsidRDefault="00FA7DC6" w:rsidP="00950036">
            <w:pPr>
              <w:pStyle w:val="CETBodytext"/>
              <w:ind w:right="-1"/>
              <w:rPr>
                <w:rFonts w:cs="Arial"/>
                <w:szCs w:val="18"/>
                <w:lang w:val="en-GB"/>
              </w:rPr>
            </w:pPr>
          </w:p>
        </w:tc>
      </w:tr>
      <w:tr w:rsidR="00691A11" w:rsidRPr="00B57B36" w14:paraId="4A5E6657" w14:textId="77777777" w:rsidTr="00691A11">
        <w:tc>
          <w:tcPr>
            <w:tcW w:w="900" w:type="dxa"/>
            <w:vMerge w:val="restart"/>
            <w:shd w:val="clear" w:color="auto" w:fill="FFFFFF"/>
          </w:tcPr>
          <w:p w14:paraId="2EA88E1B" w14:textId="77777777" w:rsidR="00FA7DC6" w:rsidRPr="00CF10E1" w:rsidRDefault="00FA7DC6" w:rsidP="00EE62BA">
            <w:pPr>
              <w:pStyle w:val="CETBodytext"/>
              <w:ind w:right="-1"/>
              <w:rPr>
                <w:rFonts w:cs="Arial"/>
                <w:szCs w:val="18"/>
                <w:lang w:val="en-GB"/>
              </w:rPr>
            </w:pPr>
            <w:r w:rsidRPr="00CF10E1">
              <w:rPr>
                <w:rFonts w:cs="Arial"/>
                <w:szCs w:val="18"/>
                <w:lang w:val="en-GB"/>
              </w:rPr>
              <w:t>4</w:t>
            </w:r>
          </w:p>
        </w:tc>
        <w:tc>
          <w:tcPr>
            <w:tcW w:w="801" w:type="dxa"/>
            <w:shd w:val="clear" w:color="auto" w:fill="FFFFFF"/>
          </w:tcPr>
          <w:p w14:paraId="13605D14" w14:textId="77777777" w:rsidR="00FA7DC6" w:rsidRPr="00CF10E1" w:rsidRDefault="00FA7DC6" w:rsidP="00EE62BA">
            <w:pPr>
              <w:pStyle w:val="CETBodytext"/>
              <w:ind w:right="-1"/>
              <w:rPr>
                <w:rFonts w:cs="Arial"/>
                <w:szCs w:val="18"/>
                <w:lang w:val="en-GB"/>
              </w:rPr>
            </w:pPr>
            <w:r w:rsidRPr="00CF10E1">
              <w:rPr>
                <w:lang w:val="en-GB"/>
              </w:rPr>
              <w:t>C</w:t>
            </w:r>
            <w:r w:rsidRPr="00CF10E1">
              <w:rPr>
                <w:rFonts w:ascii="Cambria Math" w:hAnsi="Cambria Math" w:cs="Cambria Math"/>
                <w:lang w:val="en-GB"/>
              </w:rPr>
              <w:t>₃</w:t>
            </w:r>
            <w:r w:rsidRPr="00CF10E1">
              <w:rPr>
                <w:lang w:val="en-GB"/>
              </w:rPr>
              <w:t>H</w:t>
            </w:r>
            <w:r w:rsidRPr="00CF10E1">
              <w:rPr>
                <w:rFonts w:ascii="Cambria Math" w:hAnsi="Cambria Math" w:cs="Cambria Math"/>
                <w:lang w:val="en-GB"/>
              </w:rPr>
              <w:t>₈</w:t>
            </w:r>
            <w:r w:rsidRPr="00CF10E1">
              <w:rPr>
                <w:lang w:val="en-GB"/>
              </w:rPr>
              <w:t>O</w:t>
            </w:r>
            <w:r w:rsidRPr="00CF10E1">
              <w:rPr>
                <w:rFonts w:ascii="Cambria Math" w:hAnsi="Cambria Math" w:cs="Cambria Math"/>
                <w:lang w:val="en-GB"/>
              </w:rPr>
              <w:t>₃</w:t>
            </w:r>
          </w:p>
        </w:tc>
        <w:tc>
          <w:tcPr>
            <w:tcW w:w="709" w:type="dxa"/>
            <w:shd w:val="clear" w:color="auto" w:fill="FFFFFF"/>
          </w:tcPr>
          <w:p w14:paraId="72DF95BD" w14:textId="77777777" w:rsidR="00FA7DC6" w:rsidRPr="00CF10E1" w:rsidRDefault="00FA7DC6" w:rsidP="00EE62BA">
            <w:pPr>
              <w:pStyle w:val="CETBodytext"/>
              <w:ind w:right="-1"/>
              <w:rPr>
                <w:rFonts w:cs="Arial"/>
                <w:szCs w:val="18"/>
                <w:lang w:val="en-GB"/>
              </w:rPr>
            </w:pPr>
            <w:r w:rsidRPr="00CF10E1">
              <w:rPr>
                <w:rFonts w:cs="Arial"/>
                <w:szCs w:val="18"/>
                <w:lang w:val="en-GB"/>
              </w:rPr>
              <w:t>O</w:t>
            </w:r>
            <w:r w:rsidRPr="00CF10E1">
              <w:rPr>
                <w:rFonts w:cs="Arial"/>
                <w:szCs w:val="18"/>
                <w:vertAlign w:val="subscript"/>
                <w:lang w:val="en-GB"/>
              </w:rPr>
              <w:t>2</w:t>
            </w:r>
          </w:p>
        </w:tc>
        <w:tc>
          <w:tcPr>
            <w:tcW w:w="650" w:type="dxa"/>
            <w:shd w:val="clear" w:color="auto" w:fill="FFFFFF"/>
          </w:tcPr>
          <w:p w14:paraId="06806CD3" w14:textId="77777777" w:rsidR="00FA7DC6" w:rsidRPr="00CF10E1" w:rsidRDefault="00FA7DC6" w:rsidP="00EE62BA">
            <w:pPr>
              <w:pStyle w:val="CETBodytext"/>
              <w:ind w:right="-1"/>
              <w:rPr>
                <w:rFonts w:cs="Arial"/>
                <w:szCs w:val="18"/>
                <w:lang w:val="en-GB"/>
              </w:rPr>
            </w:pPr>
            <w:r w:rsidRPr="00CF10E1">
              <w:rPr>
                <w:rFonts w:cs="Arial"/>
                <w:szCs w:val="18"/>
                <w:lang w:val="en-GB"/>
              </w:rPr>
              <w:t>H</w:t>
            </w:r>
            <w:r w:rsidRPr="00CF10E1">
              <w:rPr>
                <w:rFonts w:cs="Arial"/>
                <w:szCs w:val="18"/>
                <w:vertAlign w:val="subscript"/>
                <w:lang w:val="en-GB"/>
              </w:rPr>
              <w:t>2</w:t>
            </w:r>
            <w:r w:rsidRPr="00CF10E1">
              <w:rPr>
                <w:rFonts w:cs="Arial"/>
                <w:szCs w:val="18"/>
                <w:lang w:val="en-GB"/>
              </w:rPr>
              <w:t>O</w:t>
            </w:r>
          </w:p>
        </w:tc>
        <w:tc>
          <w:tcPr>
            <w:tcW w:w="484" w:type="dxa"/>
            <w:shd w:val="clear" w:color="auto" w:fill="FFFFFF"/>
          </w:tcPr>
          <w:p w14:paraId="07DB8331" w14:textId="77777777" w:rsidR="00FA7DC6" w:rsidRPr="00CF10E1" w:rsidRDefault="00FA7DC6" w:rsidP="00EE62BA">
            <w:pPr>
              <w:pStyle w:val="CETBodytext"/>
              <w:ind w:right="-1"/>
              <w:rPr>
                <w:rFonts w:cs="Arial"/>
                <w:szCs w:val="18"/>
                <w:lang w:val="en-GB"/>
              </w:rPr>
            </w:pPr>
          </w:p>
        </w:tc>
        <w:tc>
          <w:tcPr>
            <w:tcW w:w="956" w:type="dxa"/>
            <w:shd w:val="clear" w:color="auto" w:fill="FFFFFF"/>
          </w:tcPr>
          <w:p w14:paraId="0B44AC8C" w14:textId="77777777" w:rsidR="00FA7DC6" w:rsidRPr="00CF10E1" w:rsidRDefault="00FA7DC6" w:rsidP="00EE62BA">
            <w:pPr>
              <w:pStyle w:val="CETBodytext"/>
              <w:ind w:right="-1"/>
              <w:rPr>
                <w:rFonts w:cs="Arial"/>
                <w:szCs w:val="18"/>
                <w:lang w:val="en-GB"/>
              </w:rPr>
            </w:pPr>
          </w:p>
        </w:tc>
        <w:tc>
          <w:tcPr>
            <w:tcW w:w="900" w:type="dxa"/>
            <w:shd w:val="clear" w:color="auto" w:fill="FFFFFF"/>
          </w:tcPr>
          <w:p w14:paraId="649C1DBF" w14:textId="77777777" w:rsidR="00FA7DC6" w:rsidRPr="00CF10E1" w:rsidRDefault="00FA7DC6" w:rsidP="00EE62BA">
            <w:pPr>
              <w:pStyle w:val="CETBodytext"/>
              <w:ind w:right="-1"/>
              <w:rPr>
                <w:rFonts w:cs="Arial"/>
                <w:szCs w:val="18"/>
                <w:lang w:val="en-GB"/>
              </w:rPr>
            </w:pPr>
            <w:r w:rsidRPr="00CF10E1">
              <w:rPr>
                <w:rFonts w:cs="Arial"/>
                <w:szCs w:val="18"/>
                <w:lang w:val="en-GB"/>
              </w:rPr>
              <w:t>CH</w:t>
            </w:r>
            <w:r w:rsidRPr="00CF10E1">
              <w:rPr>
                <w:rFonts w:cs="Arial"/>
                <w:szCs w:val="18"/>
                <w:vertAlign w:val="subscript"/>
                <w:lang w:val="en-GB"/>
              </w:rPr>
              <w:t>2</w:t>
            </w:r>
            <w:r w:rsidRPr="00CF10E1">
              <w:rPr>
                <w:rFonts w:cs="Arial"/>
                <w:szCs w:val="18"/>
                <w:lang w:val="en-GB"/>
              </w:rPr>
              <w:t>O</w:t>
            </w:r>
            <w:r w:rsidRPr="00CF10E1">
              <w:rPr>
                <w:rFonts w:cs="Arial"/>
                <w:szCs w:val="18"/>
                <w:vertAlign w:val="subscript"/>
                <w:lang w:val="en-GB"/>
              </w:rPr>
              <w:t>2</w:t>
            </w:r>
          </w:p>
        </w:tc>
        <w:tc>
          <w:tcPr>
            <w:tcW w:w="900" w:type="dxa"/>
            <w:shd w:val="clear" w:color="auto" w:fill="FFFFFF"/>
          </w:tcPr>
          <w:p w14:paraId="542E0CA4" w14:textId="77777777" w:rsidR="00FA7DC6" w:rsidRPr="00CF10E1" w:rsidRDefault="00FA7DC6" w:rsidP="00EE62BA">
            <w:pPr>
              <w:pStyle w:val="CETBodytext"/>
              <w:ind w:right="-1"/>
              <w:rPr>
                <w:rFonts w:cs="Arial"/>
                <w:szCs w:val="18"/>
                <w:lang w:val="en-GB"/>
              </w:rPr>
            </w:pPr>
            <w:r w:rsidRPr="00CF10E1">
              <w:rPr>
                <w:rFonts w:cs="Arial"/>
                <w:szCs w:val="18"/>
                <w:lang w:val="en-GB"/>
              </w:rPr>
              <w:t>C</w:t>
            </w:r>
            <w:r w:rsidRPr="00CF10E1">
              <w:rPr>
                <w:rFonts w:cs="Arial"/>
                <w:szCs w:val="18"/>
                <w:vertAlign w:val="subscript"/>
                <w:lang w:val="en-GB"/>
              </w:rPr>
              <w:t>2</w:t>
            </w:r>
            <w:r w:rsidRPr="00CF10E1">
              <w:rPr>
                <w:rFonts w:cs="Arial"/>
                <w:szCs w:val="18"/>
                <w:lang w:val="en-GB"/>
              </w:rPr>
              <w:t>H</w:t>
            </w:r>
            <w:r w:rsidRPr="00CF10E1">
              <w:rPr>
                <w:rFonts w:cs="Arial"/>
                <w:szCs w:val="18"/>
                <w:vertAlign w:val="subscript"/>
                <w:lang w:val="en-GB"/>
              </w:rPr>
              <w:t>4</w:t>
            </w:r>
            <w:r w:rsidRPr="00CF10E1">
              <w:rPr>
                <w:rFonts w:cs="Arial"/>
                <w:szCs w:val="18"/>
                <w:lang w:val="en-GB"/>
              </w:rPr>
              <w:t>O</w:t>
            </w:r>
            <w:r w:rsidRPr="00CF10E1">
              <w:rPr>
                <w:rFonts w:cs="Arial"/>
                <w:szCs w:val="18"/>
                <w:vertAlign w:val="subscript"/>
                <w:lang w:val="en-GB"/>
              </w:rPr>
              <w:t>3</w:t>
            </w:r>
          </w:p>
        </w:tc>
        <w:tc>
          <w:tcPr>
            <w:tcW w:w="900" w:type="dxa"/>
            <w:shd w:val="clear" w:color="auto" w:fill="FFFFFF"/>
          </w:tcPr>
          <w:p w14:paraId="05A7CAC5" w14:textId="77777777" w:rsidR="00FA7DC6" w:rsidRPr="00CF10E1" w:rsidRDefault="00FA7DC6" w:rsidP="00EE62BA">
            <w:pPr>
              <w:pStyle w:val="CETBodytext"/>
              <w:ind w:right="-1"/>
              <w:rPr>
                <w:rFonts w:cs="Arial"/>
                <w:szCs w:val="18"/>
                <w:lang w:val="en-GB"/>
              </w:rPr>
            </w:pPr>
            <w:r w:rsidRPr="00CF10E1">
              <w:rPr>
                <w:rFonts w:cs="Arial"/>
                <w:szCs w:val="18"/>
                <w:lang w:val="en-GB"/>
              </w:rPr>
              <w:t>C</w:t>
            </w:r>
            <w:r w:rsidRPr="00CF10E1">
              <w:rPr>
                <w:rFonts w:cs="Arial"/>
                <w:szCs w:val="18"/>
                <w:vertAlign w:val="subscript"/>
                <w:lang w:val="en-GB"/>
              </w:rPr>
              <w:t>3</w:t>
            </w:r>
            <w:r w:rsidRPr="00CF10E1">
              <w:rPr>
                <w:rFonts w:cs="Arial"/>
                <w:szCs w:val="18"/>
                <w:lang w:val="en-GB"/>
              </w:rPr>
              <w:t>H</w:t>
            </w:r>
            <w:r w:rsidRPr="00CF10E1">
              <w:rPr>
                <w:rFonts w:cs="Arial"/>
                <w:szCs w:val="18"/>
                <w:vertAlign w:val="subscript"/>
                <w:lang w:val="en-GB"/>
              </w:rPr>
              <w:t>6</w:t>
            </w:r>
            <w:r w:rsidRPr="00CF10E1">
              <w:rPr>
                <w:rFonts w:cs="Arial"/>
                <w:szCs w:val="18"/>
                <w:lang w:val="en-GB"/>
              </w:rPr>
              <w:t>O</w:t>
            </w:r>
            <w:r w:rsidRPr="00CF10E1">
              <w:rPr>
                <w:rFonts w:cs="Arial"/>
                <w:szCs w:val="18"/>
                <w:vertAlign w:val="subscript"/>
                <w:lang w:val="en-GB"/>
              </w:rPr>
              <w:t>3</w:t>
            </w:r>
          </w:p>
        </w:tc>
        <w:tc>
          <w:tcPr>
            <w:tcW w:w="720" w:type="dxa"/>
            <w:shd w:val="clear" w:color="auto" w:fill="FFFFFF"/>
          </w:tcPr>
          <w:p w14:paraId="111A9D38" w14:textId="77777777" w:rsidR="00FA7DC6" w:rsidRPr="00CF10E1" w:rsidRDefault="00FA7DC6" w:rsidP="00EE62BA">
            <w:pPr>
              <w:pStyle w:val="CETBodytext"/>
              <w:ind w:right="-1"/>
              <w:rPr>
                <w:rFonts w:cs="Arial"/>
                <w:szCs w:val="18"/>
                <w:lang w:val="en-GB"/>
              </w:rPr>
            </w:pPr>
            <w:r w:rsidRPr="00CF10E1">
              <w:rPr>
                <w:rFonts w:cs="Arial"/>
                <w:szCs w:val="18"/>
                <w:lang w:val="en-GB"/>
              </w:rPr>
              <w:t>C</w:t>
            </w:r>
            <w:r w:rsidRPr="00CF10E1">
              <w:rPr>
                <w:rFonts w:cs="Arial"/>
                <w:szCs w:val="18"/>
                <w:vertAlign w:val="subscript"/>
                <w:lang w:val="en-GB"/>
              </w:rPr>
              <w:t>3</w:t>
            </w:r>
            <w:r w:rsidRPr="00CF10E1">
              <w:rPr>
                <w:rFonts w:cs="Arial"/>
                <w:szCs w:val="18"/>
                <w:lang w:val="en-GB"/>
              </w:rPr>
              <w:t>H</w:t>
            </w:r>
            <w:r w:rsidRPr="00CF10E1">
              <w:rPr>
                <w:rFonts w:cs="Arial"/>
                <w:szCs w:val="18"/>
                <w:vertAlign w:val="subscript"/>
                <w:lang w:val="en-GB"/>
              </w:rPr>
              <w:t>8</w:t>
            </w:r>
            <w:r w:rsidRPr="00CF10E1">
              <w:rPr>
                <w:rFonts w:cs="Arial"/>
                <w:szCs w:val="18"/>
                <w:lang w:val="en-GB"/>
              </w:rPr>
              <w:t>O</w:t>
            </w:r>
          </w:p>
        </w:tc>
        <w:tc>
          <w:tcPr>
            <w:tcW w:w="720" w:type="dxa"/>
            <w:shd w:val="clear" w:color="auto" w:fill="FFFFFF"/>
          </w:tcPr>
          <w:p w14:paraId="450E22EB" w14:textId="77777777" w:rsidR="00FA7DC6" w:rsidRPr="00CF10E1" w:rsidRDefault="00FA7DC6" w:rsidP="00EE62BA">
            <w:pPr>
              <w:pStyle w:val="CETBodytext"/>
              <w:ind w:right="-1"/>
              <w:rPr>
                <w:rFonts w:cs="Arial"/>
                <w:szCs w:val="18"/>
                <w:lang w:val="en-GB"/>
              </w:rPr>
            </w:pPr>
            <w:r w:rsidRPr="00CF10E1">
              <w:rPr>
                <w:rFonts w:cs="Arial"/>
                <w:szCs w:val="18"/>
                <w:lang w:val="en-GB"/>
              </w:rPr>
              <w:t>H</w:t>
            </w:r>
            <w:r w:rsidRPr="00CF10E1">
              <w:rPr>
                <w:rFonts w:cs="Arial"/>
                <w:szCs w:val="18"/>
                <w:vertAlign w:val="subscript"/>
                <w:lang w:val="en-GB"/>
              </w:rPr>
              <w:t>2</w:t>
            </w:r>
          </w:p>
        </w:tc>
      </w:tr>
      <w:tr w:rsidR="00691A11" w:rsidRPr="00B57B36" w14:paraId="5D134773" w14:textId="77777777" w:rsidTr="00691A11">
        <w:tc>
          <w:tcPr>
            <w:tcW w:w="900" w:type="dxa"/>
            <w:vMerge/>
            <w:shd w:val="clear" w:color="auto" w:fill="FFFFFF"/>
          </w:tcPr>
          <w:p w14:paraId="2288F0B3" w14:textId="77777777" w:rsidR="00FA7DC6" w:rsidRPr="00CF10E1" w:rsidRDefault="00FA7DC6" w:rsidP="00EE62BA">
            <w:pPr>
              <w:pStyle w:val="CETBodytext"/>
              <w:ind w:right="-1"/>
              <w:rPr>
                <w:rFonts w:cs="Arial"/>
                <w:szCs w:val="18"/>
                <w:lang w:val="en-GB"/>
              </w:rPr>
            </w:pPr>
          </w:p>
        </w:tc>
        <w:tc>
          <w:tcPr>
            <w:tcW w:w="801" w:type="dxa"/>
            <w:shd w:val="clear" w:color="auto" w:fill="FFFFFF"/>
          </w:tcPr>
          <w:p w14:paraId="7A86B560" w14:textId="77777777" w:rsidR="00FA7DC6" w:rsidRPr="00CF10E1" w:rsidRDefault="00FA7DC6" w:rsidP="00EE62BA">
            <w:pPr>
              <w:pStyle w:val="CETBodytext"/>
              <w:ind w:right="-1"/>
              <w:rPr>
                <w:rFonts w:cs="Arial"/>
                <w:szCs w:val="18"/>
                <w:lang w:val="en-GB"/>
              </w:rPr>
            </w:pPr>
            <w:r w:rsidRPr="00CF10E1">
              <w:rPr>
                <w:rFonts w:cs="Arial"/>
                <w:szCs w:val="18"/>
                <w:lang w:val="en-GB"/>
              </w:rPr>
              <w:t>n=100</w:t>
            </w:r>
          </w:p>
        </w:tc>
        <w:tc>
          <w:tcPr>
            <w:tcW w:w="709" w:type="dxa"/>
            <w:shd w:val="clear" w:color="auto" w:fill="FFFFFF"/>
          </w:tcPr>
          <w:p w14:paraId="1CE9267A" w14:textId="77777777" w:rsidR="00FA7DC6" w:rsidRPr="00CF10E1" w:rsidRDefault="00FA7DC6" w:rsidP="00EE62BA">
            <w:pPr>
              <w:pStyle w:val="CETBodytext"/>
              <w:ind w:right="-1"/>
              <w:rPr>
                <w:rFonts w:cs="Arial"/>
                <w:szCs w:val="18"/>
                <w:lang w:val="en-GB"/>
              </w:rPr>
            </w:pPr>
            <w:r w:rsidRPr="00CF10E1">
              <w:rPr>
                <w:rFonts w:cs="Arial"/>
                <w:szCs w:val="18"/>
                <w:lang w:val="en-GB"/>
              </w:rPr>
              <w:t>n=5</w:t>
            </w:r>
          </w:p>
        </w:tc>
        <w:tc>
          <w:tcPr>
            <w:tcW w:w="650" w:type="dxa"/>
            <w:shd w:val="clear" w:color="auto" w:fill="FFFFFF"/>
          </w:tcPr>
          <w:p w14:paraId="3775E0E0" w14:textId="77777777" w:rsidR="00FA7DC6" w:rsidRPr="00CF10E1" w:rsidRDefault="00FA7DC6" w:rsidP="00EE62BA">
            <w:pPr>
              <w:pStyle w:val="CETBodytext"/>
              <w:ind w:right="-1"/>
              <w:rPr>
                <w:rFonts w:cs="Arial"/>
                <w:szCs w:val="18"/>
                <w:lang w:val="en-GB"/>
              </w:rPr>
            </w:pPr>
            <w:r w:rsidRPr="00CF10E1">
              <w:rPr>
                <w:rFonts w:cs="Arial"/>
                <w:szCs w:val="18"/>
                <w:lang w:val="en-GB"/>
              </w:rPr>
              <w:t>n=30</w:t>
            </w:r>
          </w:p>
        </w:tc>
        <w:tc>
          <w:tcPr>
            <w:tcW w:w="484" w:type="dxa"/>
            <w:shd w:val="clear" w:color="auto" w:fill="FFFFFF"/>
          </w:tcPr>
          <w:p w14:paraId="4040C0F3" w14:textId="77777777" w:rsidR="00FA7DC6" w:rsidRPr="00CF10E1" w:rsidRDefault="00FA7DC6" w:rsidP="00EE62BA">
            <w:pPr>
              <w:pStyle w:val="CETBodytext"/>
              <w:ind w:right="-1"/>
              <w:rPr>
                <w:rFonts w:cs="Arial"/>
                <w:szCs w:val="18"/>
                <w:lang w:val="en-GB"/>
              </w:rPr>
            </w:pPr>
          </w:p>
        </w:tc>
        <w:tc>
          <w:tcPr>
            <w:tcW w:w="956" w:type="dxa"/>
            <w:shd w:val="clear" w:color="auto" w:fill="FFFFFF"/>
          </w:tcPr>
          <w:p w14:paraId="0F370060" w14:textId="77777777" w:rsidR="00FA7DC6" w:rsidRPr="00CF10E1" w:rsidRDefault="00FA7DC6" w:rsidP="00EE62BA">
            <w:pPr>
              <w:pStyle w:val="CETBodytext"/>
              <w:ind w:right="-1"/>
              <w:rPr>
                <w:rFonts w:cs="Arial"/>
                <w:szCs w:val="18"/>
                <w:lang w:val="en-GB"/>
              </w:rPr>
            </w:pPr>
          </w:p>
        </w:tc>
        <w:tc>
          <w:tcPr>
            <w:tcW w:w="900" w:type="dxa"/>
            <w:shd w:val="clear" w:color="auto" w:fill="FFFFFF"/>
          </w:tcPr>
          <w:p w14:paraId="4C160B09" w14:textId="77777777" w:rsidR="00FA7DC6" w:rsidRPr="00CF10E1" w:rsidRDefault="00FA7DC6" w:rsidP="00EE62BA">
            <w:pPr>
              <w:pStyle w:val="CETBodytext"/>
              <w:ind w:right="-1"/>
              <w:rPr>
                <w:rFonts w:cs="Arial"/>
                <w:szCs w:val="18"/>
                <w:lang w:val="en-GB"/>
              </w:rPr>
            </w:pPr>
            <w:r w:rsidRPr="00CF10E1">
              <w:rPr>
                <w:rFonts w:cs="Arial"/>
                <w:szCs w:val="18"/>
                <w:lang w:val="en-GB"/>
              </w:rPr>
              <w:t>n=96.94</w:t>
            </w:r>
          </w:p>
        </w:tc>
        <w:tc>
          <w:tcPr>
            <w:tcW w:w="900" w:type="dxa"/>
            <w:shd w:val="clear" w:color="auto" w:fill="FFFFFF"/>
          </w:tcPr>
          <w:p w14:paraId="04B23FE6" w14:textId="77777777" w:rsidR="00FA7DC6" w:rsidRPr="00CF10E1" w:rsidRDefault="00FA7DC6" w:rsidP="00EE62BA">
            <w:pPr>
              <w:pStyle w:val="CETBodytext"/>
              <w:ind w:right="-1"/>
              <w:rPr>
                <w:rFonts w:cs="Arial"/>
                <w:szCs w:val="18"/>
                <w:lang w:val="en-GB"/>
              </w:rPr>
            </w:pPr>
            <w:r w:rsidRPr="00CF10E1">
              <w:rPr>
                <w:rFonts w:cs="Arial"/>
                <w:szCs w:val="18"/>
                <w:lang w:val="en-GB"/>
              </w:rPr>
              <w:t>n=3.06</w:t>
            </w:r>
          </w:p>
        </w:tc>
        <w:tc>
          <w:tcPr>
            <w:tcW w:w="900" w:type="dxa"/>
            <w:shd w:val="clear" w:color="auto" w:fill="FFFFFF"/>
          </w:tcPr>
          <w:p w14:paraId="454A160C" w14:textId="77777777" w:rsidR="00FA7DC6" w:rsidRPr="00CF10E1" w:rsidRDefault="00FA7DC6" w:rsidP="00EE62BA">
            <w:pPr>
              <w:pStyle w:val="CETBodytext"/>
              <w:ind w:right="-1"/>
              <w:rPr>
                <w:rFonts w:cs="Arial"/>
                <w:szCs w:val="18"/>
                <w:lang w:val="en-GB"/>
              </w:rPr>
            </w:pPr>
            <w:r w:rsidRPr="00CF10E1">
              <w:rPr>
                <w:rFonts w:cs="Arial"/>
                <w:szCs w:val="18"/>
                <w:lang w:val="en-GB"/>
              </w:rPr>
              <w:t>n=35.64</w:t>
            </w:r>
          </w:p>
        </w:tc>
        <w:tc>
          <w:tcPr>
            <w:tcW w:w="720" w:type="dxa"/>
            <w:shd w:val="clear" w:color="auto" w:fill="FFFFFF"/>
          </w:tcPr>
          <w:p w14:paraId="463CACBD" w14:textId="77777777" w:rsidR="00FA7DC6" w:rsidRPr="00CF10E1" w:rsidRDefault="00FA7DC6" w:rsidP="00EE62BA">
            <w:pPr>
              <w:pStyle w:val="CETBodytext"/>
              <w:ind w:right="-1"/>
              <w:rPr>
                <w:rFonts w:cs="Arial"/>
                <w:szCs w:val="18"/>
                <w:lang w:val="en-GB"/>
              </w:rPr>
            </w:pPr>
            <w:r w:rsidRPr="00CF10E1">
              <w:rPr>
                <w:rFonts w:cs="Arial"/>
                <w:szCs w:val="18"/>
                <w:lang w:val="en-GB"/>
              </w:rPr>
              <w:t>n=30</w:t>
            </w:r>
          </w:p>
        </w:tc>
        <w:tc>
          <w:tcPr>
            <w:tcW w:w="720" w:type="dxa"/>
            <w:shd w:val="clear" w:color="auto" w:fill="FFFFFF"/>
          </w:tcPr>
          <w:p w14:paraId="20BBBB75" w14:textId="77777777" w:rsidR="00FA7DC6" w:rsidRPr="00CF10E1" w:rsidRDefault="00FA7DC6" w:rsidP="00EE62BA">
            <w:pPr>
              <w:pStyle w:val="CETBodytext"/>
              <w:ind w:right="-1"/>
              <w:rPr>
                <w:rFonts w:cs="Arial"/>
                <w:szCs w:val="18"/>
                <w:lang w:val="en-GB"/>
              </w:rPr>
            </w:pPr>
            <w:r w:rsidRPr="00CF10E1">
              <w:rPr>
                <w:rFonts w:cs="Arial"/>
                <w:szCs w:val="18"/>
                <w:lang w:val="en-GB"/>
              </w:rPr>
              <w:t>n=100</w:t>
            </w:r>
          </w:p>
        </w:tc>
      </w:tr>
      <w:tr w:rsidR="00691A11" w:rsidRPr="00B57B36" w14:paraId="4100B349" w14:textId="77777777" w:rsidTr="00691A11">
        <w:tc>
          <w:tcPr>
            <w:tcW w:w="900" w:type="dxa"/>
            <w:shd w:val="clear" w:color="auto" w:fill="FFFFFF"/>
          </w:tcPr>
          <w:p w14:paraId="47A8FFB6" w14:textId="77777777" w:rsidR="00FA7DC6" w:rsidRPr="00B57B36" w:rsidRDefault="00FA7DC6" w:rsidP="00EE62BA">
            <w:pPr>
              <w:pStyle w:val="CETBodytext"/>
              <w:ind w:right="-1"/>
              <w:rPr>
                <w:rFonts w:cs="Arial"/>
                <w:szCs w:val="18"/>
                <w:lang w:val="en-GB"/>
              </w:rPr>
            </w:pPr>
          </w:p>
        </w:tc>
        <w:tc>
          <w:tcPr>
            <w:tcW w:w="801" w:type="dxa"/>
            <w:shd w:val="clear" w:color="auto" w:fill="FFFFFF"/>
          </w:tcPr>
          <w:p w14:paraId="3966C967" w14:textId="77777777" w:rsidR="00FA7DC6" w:rsidRPr="00E67DC8" w:rsidRDefault="00FA7DC6" w:rsidP="00EE62BA">
            <w:pPr>
              <w:pStyle w:val="CETBodytext"/>
              <w:ind w:right="-1"/>
              <w:rPr>
                <w:rFonts w:cs="Arial"/>
                <w:szCs w:val="18"/>
                <w:lang w:val="en-GB"/>
              </w:rPr>
            </w:pPr>
          </w:p>
        </w:tc>
        <w:tc>
          <w:tcPr>
            <w:tcW w:w="709" w:type="dxa"/>
            <w:shd w:val="clear" w:color="auto" w:fill="FFFFFF"/>
          </w:tcPr>
          <w:p w14:paraId="3749378E" w14:textId="77777777" w:rsidR="00FA7DC6" w:rsidRPr="00E67DC8" w:rsidRDefault="00FA7DC6" w:rsidP="00EE62BA">
            <w:pPr>
              <w:pStyle w:val="CETBodytext"/>
              <w:ind w:right="-1"/>
              <w:rPr>
                <w:rFonts w:cs="Arial"/>
                <w:szCs w:val="18"/>
                <w:lang w:val="en-GB"/>
              </w:rPr>
            </w:pPr>
          </w:p>
        </w:tc>
        <w:tc>
          <w:tcPr>
            <w:tcW w:w="650" w:type="dxa"/>
            <w:shd w:val="clear" w:color="auto" w:fill="FFFFFF"/>
          </w:tcPr>
          <w:p w14:paraId="0EE512D6" w14:textId="77777777" w:rsidR="00FA7DC6" w:rsidRDefault="00FA7DC6" w:rsidP="00EE62BA">
            <w:pPr>
              <w:pStyle w:val="CETBodytext"/>
              <w:ind w:right="-1"/>
              <w:rPr>
                <w:rFonts w:cs="Arial"/>
                <w:szCs w:val="18"/>
                <w:lang w:val="en-GB"/>
              </w:rPr>
            </w:pPr>
          </w:p>
        </w:tc>
        <w:tc>
          <w:tcPr>
            <w:tcW w:w="484" w:type="dxa"/>
            <w:shd w:val="clear" w:color="auto" w:fill="FFFFFF"/>
          </w:tcPr>
          <w:p w14:paraId="051063D4" w14:textId="77777777" w:rsidR="00FA7DC6" w:rsidRPr="00B57B36" w:rsidRDefault="00FA7DC6" w:rsidP="00EE62BA">
            <w:pPr>
              <w:pStyle w:val="CETBodytext"/>
              <w:ind w:right="-1"/>
              <w:rPr>
                <w:rFonts w:cs="Arial"/>
                <w:szCs w:val="18"/>
                <w:lang w:val="en-GB"/>
              </w:rPr>
            </w:pPr>
          </w:p>
        </w:tc>
        <w:tc>
          <w:tcPr>
            <w:tcW w:w="956" w:type="dxa"/>
            <w:shd w:val="clear" w:color="auto" w:fill="FFFFFF"/>
          </w:tcPr>
          <w:p w14:paraId="60D26573" w14:textId="77777777" w:rsidR="00FA7DC6" w:rsidRPr="00B57B36" w:rsidRDefault="00FA7DC6" w:rsidP="00EE62BA">
            <w:pPr>
              <w:pStyle w:val="CETBodytext"/>
              <w:ind w:right="-1"/>
              <w:rPr>
                <w:rFonts w:cs="Arial"/>
                <w:szCs w:val="18"/>
                <w:lang w:val="en-GB"/>
              </w:rPr>
            </w:pPr>
          </w:p>
        </w:tc>
        <w:tc>
          <w:tcPr>
            <w:tcW w:w="900" w:type="dxa"/>
            <w:shd w:val="clear" w:color="auto" w:fill="FFFFFF"/>
          </w:tcPr>
          <w:p w14:paraId="028AD7C7" w14:textId="77777777" w:rsidR="00FA7DC6" w:rsidRPr="00456B6E" w:rsidRDefault="00FA7DC6" w:rsidP="00EE62BA">
            <w:pPr>
              <w:pStyle w:val="CETBodytext"/>
              <w:ind w:right="-1"/>
              <w:rPr>
                <w:rFonts w:cs="Arial"/>
                <w:szCs w:val="18"/>
                <w:lang w:val="en-GB"/>
              </w:rPr>
            </w:pPr>
          </w:p>
        </w:tc>
        <w:tc>
          <w:tcPr>
            <w:tcW w:w="900" w:type="dxa"/>
            <w:shd w:val="clear" w:color="auto" w:fill="FFFFFF"/>
          </w:tcPr>
          <w:p w14:paraId="2384AF75" w14:textId="77777777" w:rsidR="00FA7DC6" w:rsidRPr="00E67DC8" w:rsidRDefault="00FA7DC6" w:rsidP="00EE62BA">
            <w:pPr>
              <w:pStyle w:val="CETBodytext"/>
              <w:ind w:right="-1"/>
              <w:rPr>
                <w:rFonts w:cs="Arial"/>
                <w:szCs w:val="18"/>
                <w:lang w:val="en-GB"/>
              </w:rPr>
            </w:pPr>
          </w:p>
        </w:tc>
        <w:tc>
          <w:tcPr>
            <w:tcW w:w="900" w:type="dxa"/>
            <w:shd w:val="clear" w:color="auto" w:fill="FFFFFF"/>
          </w:tcPr>
          <w:p w14:paraId="344BDDE5" w14:textId="77777777" w:rsidR="00FA7DC6" w:rsidRDefault="00FA7DC6" w:rsidP="00EE62BA">
            <w:pPr>
              <w:pStyle w:val="CETBodytext"/>
              <w:ind w:right="-1"/>
              <w:rPr>
                <w:rFonts w:cs="Arial"/>
                <w:szCs w:val="18"/>
                <w:lang w:val="en-GB"/>
              </w:rPr>
            </w:pPr>
          </w:p>
        </w:tc>
        <w:tc>
          <w:tcPr>
            <w:tcW w:w="720" w:type="dxa"/>
            <w:shd w:val="clear" w:color="auto" w:fill="FFFFFF"/>
          </w:tcPr>
          <w:p w14:paraId="5D8C621F" w14:textId="77777777" w:rsidR="00FA7DC6" w:rsidRDefault="00FA7DC6" w:rsidP="00EE62BA">
            <w:pPr>
              <w:pStyle w:val="CETBodytext"/>
              <w:ind w:right="-1"/>
              <w:rPr>
                <w:rFonts w:cs="Arial"/>
                <w:szCs w:val="18"/>
                <w:lang w:val="en-GB"/>
              </w:rPr>
            </w:pPr>
          </w:p>
        </w:tc>
        <w:tc>
          <w:tcPr>
            <w:tcW w:w="720" w:type="dxa"/>
            <w:shd w:val="clear" w:color="auto" w:fill="FFFFFF"/>
          </w:tcPr>
          <w:p w14:paraId="6D9D277C" w14:textId="77777777" w:rsidR="00FA7DC6" w:rsidRDefault="00FA7DC6" w:rsidP="00EE62BA">
            <w:pPr>
              <w:pStyle w:val="CETBodytext"/>
              <w:ind w:right="-1"/>
              <w:rPr>
                <w:rFonts w:cs="Arial"/>
                <w:szCs w:val="18"/>
                <w:lang w:val="en-GB"/>
              </w:rPr>
            </w:pPr>
          </w:p>
        </w:tc>
      </w:tr>
      <w:tr w:rsidR="00691A11" w:rsidRPr="00B57B36" w14:paraId="288DE15F" w14:textId="77777777" w:rsidTr="00691A11">
        <w:tc>
          <w:tcPr>
            <w:tcW w:w="900" w:type="dxa"/>
            <w:vMerge w:val="restart"/>
            <w:shd w:val="clear" w:color="auto" w:fill="FFFFFF"/>
          </w:tcPr>
          <w:p w14:paraId="52EADF72" w14:textId="77777777" w:rsidR="00FA7DC6" w:rsidRPr="00B57B36" w:rsidRDefault="00FA7DC6" w:rsidP="00EE62BA">
            <w:pPr>
              <w:pStyle w:val="CETBodytext"/>
              <w:ind w:right="-1"/>
              <w:rPr>
                <w:rFonts w:cs="Arial"/>
                <w:szCs w:val="18"/>
                <w:lang w:val="en-GB"/>
              </w:rPr>
            </w:pPr>
            <w:bookmarkStart w:id="1" w:name="_Hlk220336852"/>
            <w:r>
              <w:rPr>
                <w:rFonts w:cs="Arial"/>
                <w:szCs w:val="18"/>
                <w:lang w:val="en-GB"/>
              </w:rPr>
              <w:t>5</w:t>
            </w:r>
          </w:p>
        </w:tc>
        <w:tc>
          <w:tcPr>
            <w:tcW w:w="801" w:type="dxa"/>
            <w:shd w:val="clear" w:color="auto" w:fill="FFFFFF"/>
          </w:tcPr>
          <w:p w14:paraId="178AEFC9" w14:textId="77777777" w:rsidR="00FA7DC6" w:rsidRPr="00E67DC8" w:rsidRDefault="00FA7DC6" w:rsidP="00EE62BA">
            <w:pPr>
              <w:pStyle w:val="CETBodytext"/>
              <w:ind w:right="-1"/>
              <w:rPr>
                <w:rFonts w:cs="Arial"/>
                <w:szCs w:val="18"/>
                <w:lang w:val="en-GB"/>
              </w:rPr>
            </w:pPr>
            <w:r w:rsidRPr="00E67DC8">
              <w:rPr>
                <w:lang w:val="en-GB"/>
              </w:rPr>
              <w:t>C</w:t>
            </w:r>
            <w:r w:rsidRPr="00E67DC8">
              <w:rPr>
                <w:rFonts w:ascii="Cambria Math" w:hAnsi="Cambria Math" w:cs="Cambria Math"/>
                <w:lang w:val="en-GB"/>
              </w:rPr>
              <w:t>₃</w:t>
            </w:r>
            <w:r w:rsidRPr="00E67DC8">
              <w:rPr>
                <w:lang w:val="en-GB"/>
              </w:rPr>
              <w:t>H</w:t>
            </w:r>
            <w:r w:rsidRPr="00E67DC8">
              <w:rPr>
                <w:rFonts w:ascii="Cambria Math" w:hAnsi="Cambria Math" w:cs="Cambria Math"/>
                <w:lang w:val="en-GB"/>
              </w:rPr>
              <w:t>₈</w:t>
            </w:r>
            <w:r w:rsidRPr="00E67DC8">
              <w:rPr>
                <w:lang w:val="en-GB"/>
              </w:rPr>
              <w:t>O</w:t>
            </w:r>
            <w:r w:rsidRPr="00E67DC8">
              <w:rPr>
                <w:rFonts w:ascii="Cambria Math" w:hAnsi="Cambria Math" w:cs="Cambria Math"/>
                <w:lang w:val="en-GB"/>
              </w:rPr>
              <w:t>₃</w:t>
            </w:r>
          </w:p>
        </w:tc>
        <w:tc>
          <w:tcPr>
            <w:tcW w:w="709" w:type="dxa"/>
            <w:shd w:val="clear" w:color="auto" w:fill="FFFFFF"/>
          </w:tcPr>
          <w:p w14:paraId="481D9D8D" w14:textId="77777777" w:rsidR="00FA7DC6" w:rsidRPr="00E67DC8" w:rsidRDefault="00FA7DC6" w:rsidP="00EE62BA">
            <w:pPr>
              <w:pStyle w:val="CETBodytext"/>
              <w:ind w:right="-1"/>
              <w:rPr>
                <w:rFonts w:cs="Arial"/>
                <w:szCs w:val="18"/>
                <w:lang w:val="en-GB"/>
              </w:rPr>
            </w:pPr>
            <w:r w:rsidRPr="00E67DC8">
              <w:rPr>
                <w:rFonts w:cs="Arial"/>
                <w:szCs w:val="18"/>
                <w:lang w:val="en-GB"/>
              </w:rPr>
              <w:t>O</w:t>
            </w:r>
            <w:r w:rsidRPr="00E67DC8">
              <w:rPr>
                <w:rFonts w:cs="Arial"/>
                <w:szCs w:val="18"/>
                <w:vertAlign w:val="subscript"/>
                <w:lang w:val="en-GB"/>
              </w:rPr>
              <w:t>2</w:t>
            </w:r>
          </w:p>
        </w:tc>
        <w:tc>
          <w:tcPr>
            <w:tcW w:w="650" w:type="dxa"/>
            <w:shd w:val="clear" w:color="auto" w:fill="FFFFFF"/>
          </w:tcPr>
          <w:p w14:paraId="33321885" w14:textId="77777777" w:rsidR="00FA7DC6" w:rsidRDefault="00FA7DC6" w:rsidP="00EE62BA">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r>
              <w:rPr>
                <w:rFonts w:cs="Arial"/>
                <w:szCs w:val="18"/>
                <w:lang w:val="en-GB"/>
              </w:rPr>
              <w:t>O</w:t>
            </w:r>
          </w:p>
        </w:tc>
        <w:tc>
          <w:tcPr>
            <w:tcW w:w="484" w:type="dxa"/>
            <w:shd w:val="clear" w:color="auto" w:fill="FFFFFF"/>
          </w:tcPr>
          <w:p w14:paraId="23E3682E" w14:textId="77777777" w:rsidR="00FA7DC6" w:rsidRPr="00B57B36" w:rsidRDefault="00FA7DC6" w:rsidP="00EE62BA">
            <w:pPr>
              <w:pStyle w:val="CETBodytext"/>
              <w:ind w:right="-1"/>
              <w:rPr>
                <w:rFonts w:cs="Arial"/>
                <w:szCs w:val="18"/>
                <w:lang w:val="en-GB"/>
              </w:rPr>
            </w:pPr>
          </w:p>
        </w:tc>
        <w:tc>
          <w:tcPr>
            <w:tcW w:w="956" w:type="dxa"/>
            <w:shd w:val="clear" w:color="auto" w:fill="FFFFFF"/>
          </w:tcPr>
          <w:p w14:paraId="66207996" w14:textId="77777777" w:rsidR="00FA7DC6" w:rsidRPr="00B57B36" w:rsidRDefault="00FA7DC6" w:rsidP="00EE62BA">
            <w:pPr>
              <w:pStyle w:val="CETBodytext"/>
              <w:ind w:right="-1"/>
              <w:rPr>
                <w:rFonts w:cs="Arial"/>
                <w:szCs w:val="18"/>
                <w:lang w:val="en-GB"/>
              </w:rPr>
            </w:pPr>
          </w:p>
        </w:tc>
        <w:tc>
          <w:tcPr>
            <w:tcW w:w="900" w:type="dxa"/>
            <w:shd w:val="clear" w:color="auto" w:fill="FFFFFF"/>
          </w:tcPr>
          <w:p w14:paraId="06E55746" w14:textId="77777777" w:rsidR="00FA7DC6" w:rsidRPr="00456B6E" w:rsidRDefault="00FA7DC6" w:rsidP="00EE62BA">
            <w:pPr>
              <w:pStyle w:val="CETBodytext"/>
              <w:ind w:right="-1"/>
              <w:rPr>
                <w:rFonts w:cs="Arial"/>
                <w:szCs w:val="18"/>
                <w:lang w:val="en-GB"/>
              </w:rPr>
            </w:pPr>
            <w:r w:rsidRPr="00456B6E">
              <w:rPr>
                <w:rFonts w:cs="Arial"/>
                <w:szCs w:val="18"/>
                <w:lang w:val="en-GB"/>
              </w:rPr>
              <w:t>CH</w:t>
            </w:r>
            <w:r w:rsidRPr="00456B6E">
              <w:rPr>
                <w:rFonts w:cs="Arial"/>
                <w:szCs w:val="18"/>
                <w:vertAlign w:val="subscript"/>
                <w:lang w:val="en-GB"/>
              </w:rPr>
              <w:t>2</w:t>
            </w:r>
            <w:r w:rsidRPr="00456B6E">
              <w:rPr>
                <w:rFonts w:cs="Arial"/>
                <w:szCs w:val="18"/>
                <w:lang w:val="en-GB"/>
              </w:rPr>
              <w:t>O</w:t>
            </w:r>
            <w:r>
              <w:rPr>
                <w:rFonts w:cs="Arial"/>
                <w:szCs w:val="18"/>
                <w:vertAlign w:val="subscript"/>
                <w:lang w:val="en-GB"/>
              </w:rPr>
              <w:t>2</w:t>
            </w:r>
          </w:p>
        </w:tc>
        <w:tc>
          <w:tcPr>
            <w:tcW w:w="900" w:type="dxa"/>
            <w:shd w:val="clear" w:color="auto" w:fill="FFFFFF"/>
          </w:tcPr>
          <w:p w14:paraId="2751BB7F" w14:textId="77777777" w:rsidR="00FA7DC6" w:rsidRPr="00E67DC8" w:rsidRDefault="00FA7DC6" w:rsidP="00EE62BA">
            <w:pPr>
              <w:pStyle w:val="CETBodytext"/>
              <w:ind w:right="-1"/>
              <w:rPr>
                <w:rFonts w:cs="Arial"/>
                <w:szCs w:val="18"/>
                <w:lang w:val="en-GB"/>
              </w:rPr>
            </w:pPr>
            <w:r w:rsidRPr="00E67DC8">
              <w:rPr>
                <w:rFonts w:cs="Arial"/>
                <w:szCs w:val="18"/>
                <w:lang w:val="en-GB"/>
              </w:rPr>
              <w:t>C</w:t>
            </w:r>
            <w:r w:rsidRPr="00E67DC8">
              <w:rPr>
                <w:rFonts w:cs="Arial"/>
                <w:szCs w:val="18"/>
                <w:vertAlign w:val="subscript"/>
                <w:lang w:val="en-GB"/>
              </w:rPr>
              <w:t>2</w:t>
            </w:r>
            <w:r w:rsidRPr="00E67DC8">
              <w:rPr>
                <w:rFonts w:cs="Arial"/>
                <w:szCs w:val="18"/>
                <w:lang w:val="en-GB"/>
              </w:rPr>
              <w:t>H</w:t>
            </w:r>
            <w:r w:rsidRPr="00E67DC8">
              <w:rPr>
                <w:rFonts w:cs="Arial"/>
                <w:szCs w:val="18"/>
                <w:vertAlign w:val="subscript"/>
                <w:lang w:val="en-GB"/>
              </w:rPr>
              <w:t>4</w:t>
            </w:r>
            <w:r w:rsidRPr="00E67DC8">
              <w:rPr>
                <w:rFonts w:cs="Arial"/>
                <w:szCs w:val="18"/>
                <w:lang w:val="en-GB"/>
              </w:rPr>
              <w:t>O</w:t>
            </w:r>
            <w:r w:rsidRPr="00E67DC8">
              <w:rPr>
                <w:rFonts w:cs="Arial"/>
                <w:szCs w:val="18"/>
                <w:vertAlign w:val="subscript"/>
                <w:lang w:val="en-GB"/>
              </w:rPr>
              <w:t>3</w:t>
            </w:r>
          </w:p>
        </w:tc>
        <w:tc>
          <w:tcPr>
            <w:tcW w:w="900" w:type="dxa"/>
            <w:shd w:val="clear" w:color="auto" w:fill="FFFFFF"/>
          </w:tcPr>
          <w:p w14:paraId="0592D148" w14:textId="77777777" w:rsidR="00FA7DC6" w:rsidRDefault="00FA7DC6" w:rsidP="00EE62BA">
            <w:pPr>
              <w:pStyle w:val="CETBodytext"/>
              <w:ind w:right="-1"/>
              <w:rPr>
                <w:rFonts w:cs="Arial"/>
                <w:szCs w:val="18"/>
                <w:lang w:val="en-GB"/>
              </w:rPr>
            </w:pPr>
            <w:r w:rsidRPr="00EE62BA">
              <w:rPr>
                <w:rFonts w:cs="Arial"/>
                <w:szCs w:val="18"/>
                <w:lang w:val="en-GB"/>
              </w:rPr>
              <w:t>C</w:t>
            </w:r>
            <w:r w:rsidRPr="00EE62BA">
              <w:rPr>
                <w:rFonts w:cs="Arial"/>
                <w:szCs w:val="18"/>
                <w:vertAlign w:val="subscript"/>
                <w:lang w:val="en-GB"/>
              </w:rPr>
              <w:t>3</w:t>
            </w:r>
            <w:r w:rsidRPr="00EE62BA">
              <w:rPr>
                <w:rFonts w:cs="Arial"/>
                <w:szCs w:val="18"/>
                <w:lang w:val="en-GB"/>
              </w:rPr>
              <w:t>H</w:t>
            </w:r>
            <w:r w:rsidRPr="00EE62BA">
              <w:rPr>
                <w:rFonts w:cs="Arial"/>
                <w:szCs w:val="18"/>
                <w:vertAlign w:val="subscript"/>
                <w:lang w:val="en-GB"/>
              </w:rPr>
              <w:t>6</w:t>
            </w:r>
            <w:r w:rsidRPr="00EE62BA">
              <w:rPr>
                <w:rFonts w:cs="Arial"/>
                <w:szCs w:val="18"/>
                <w:lang w:val="en-GB"/>
              </w:rPr>
              <w:t>O</w:t>
            </w:r>
            <w:r w:rsidRPr="00EE62BA">
              <w:rPr>
                <w:rFonts w:cs="Arial"/>
                <w:szCs w:val="18"/>
                <w:vertAlign w:val="subscript"/>
                <w:lang w:val="en-GB"/>
              </w:rPr>
              <w:t>3</w:t>
            </w:r>
          </w:p>
        </w:tc>
        <w:tc>
          <w:tcPr>
            <w:tcW w:w="720" w:type="dxa"/>
            <w:shd w:val="clear" w:color="auto" w:fill="FFFFFF"/>
          </w:tcPr>
          <w:p w14:paraId="6C7357F9" w14:textId="77777777" w:rsidR="00FA7DC6" w:rsidRDefault="00FA7DC6" w:rsidP="00EE62BA">
            <w:pPr>
              <w:pStyle w:val="CETBodytext"/>
              <w:ind w:right="-1"/>
              <w:rPr>
                <w:rFonts w:cs="Arial"/>
                <w:szCs w:val="18"/>
                <w:lang w:val="en-GB"/>
              </w:rPr>
            </w:pPr>
            <w:bookmarkStart w:id="2" w:name="_Hlk220336860"/>
            <w:r w:rsidRPr="00EE62BA">
              <w:rPr>
                <w:rFonts w:cs="Arial"/>
                <w:szCs w:val="18"/>
                <w:lang w:val="en-GB"/>
              </w:rPr>
              <w:t>C</w:t>
            </w:r>
            <w:r w:rsidRPr="00EE62BA">
              <w:rPr>
                <w:rFonts w:cs="Arial"/>
                <w:szCs w:val="18"/>
                <w:vertAlign w:val="subscript"/>
                <w:lang w:val="en-GB"/>
              </w:rPr>
              <w:t>3</w:t>
            </w:r>
            <w:r w:rsidRPr="00EE62BA">
              <w:rPr>
                <w:rFonts w:cs="Arial"/>
                <w:szCs w:val="18"/>
                <w:lang w:val="en-GB"/>
              </w:rPr>
              <w:t>H</w:t>
            </w:r>
            <w:r w:rsidRPr="00EE62BA">
              <w:rPr>
                <w:rFonts w:cs="Arial"/>
                <w:szCs w:val="18"/>
                <w:vertAlign w:val="subscript"/>
                <w:lang w:val="en-GB"/>
              </w:rPr>
              <w:t>8</w:t>
            </w:r>
            <w:r w:rsidRPr="00EE62BA">
              <w:rPr>
                <w:rFonts w:cs="Arial"/>
                <w:szCs w:val="18"/>
                <w:lang w:val="en-GB"/>
              </w:rPr>
              <w:t>O</w:t>
            </w:r>
            <w:bookmarkEnd w:id="2"/>
          </w:p>
        </w:tc>
        <w:tc>
          <w:tcPr>
            <w:tcW w:w="720" w:type="dxa"/>
            <w:shd w:val="clear" w:color="auto" w:fill="FFFFFF"/>
          </w:tcPr>
          <w:p w14:paraId="2002DABA" w14:textId="77777777" w:rsidR="00FA7DC6" w:rsidRDefault="00FA7DC6" w:rsidP="00EE62BA">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p>
        </w:tc>
      </w:tr>
      <w:bookmarkEnd w:id="1"/>
      <w:tr w:rsidR="00691A11" w:rsidRPr="00B57B36" w14:paraId="3B08942B" w14:textId="77777777" w:rsidTr="00691A11">
        <w:tc>
          <w:tcPr>
            <w:tcW w:w="900" w:type="dxa"/>
            <w:vMerge/>
            <w:shd w:val="clear" w:color="auto" w:fill="FFFFFF"/>
          </w:tcPr>
          <w:p w14:paraId="660BBE25" w14:textId="77777777" w:rsidR="00FA7DC6" w:rsidRPr="00B57B36" w:rsidRDefault="00FA7DC6" w:rsidP="00EE62BA">
            <w:pPr>
              <w:pStyle w:val="CETBodytext"/>
              <w:ind w:right="-1"/>
              <w:rPr>
                <w:rFonts w:cs="Arial"/>
                <w:szCs w:val="18"/>
                <w:lang w:val="en-GB"/>
              </w:rPr>
            </w:pPr>
          </w:p>
        </w:tc>
        <w:tc>
          <w:tcPr>
            <w:tcW w:w="801" w:type="dxa"/>
            <w:shd w:val="clear" w:color="auto" w:fill="FFFFFF"/>
          </w:tcPr>
          <w:p w14:paraId="6B8A79F7" w14:textId="77777777" w:rsidR="00FA7DC6" w:rsidRPr="00E67DC8" w:rsidRDefault="00FA7DC6" w:rsidP="00EE62BA">
            <w:pPr>
              <w:pStyle w:val="CETBodytext"/>
              <w:ind w:right="-1"/>
              <w:rPr>
                <w:rFonts w:cs="Arial"/>
                <w:szCs w:val="18"/>
                <w:lang w:val="en-GB"/>
              </w:rPr>
            </w:pPr>
            <w:r w:rsidRPr="00E67DC8">
              <w:rPr>
                <w:rFonts w:cs="Arial"/>
                <w:szCs w:val="18"/>
                <w:lang w:val="en-GB"/>
              </w:rPr>
              <w:t>n=100</w:t>
            </w:r>
          </w:p>
        </w:tc>
        <w:tc>
          <w:tcPr>
            <w:tcW w:w="709" w:type="dxa"/>
            <w:shd w:val="clear" w:color="auto" w:fill="FFFFFF"/>
          </w:tcPr>
          <w:p w14:paraId="3A75E17B" w14:textId="77777777" w:rsidR="00FA7DC6" w:rsidRPr="00E67DC8" w:rsidRDefault="00FA7DC6" w:rsidP="00EE62BA">
            <w:pPr>
              <w:pStyle w:val="CETBodytext"/>
              <w:ind w:right="-1"/>
              <w:rPr>
                <w:rFonts w:cs="Arial"/>
                <w:szCs w:val="18"/>
                <w:lang w:val="en-GB"/>
              </w:rPr>
            </w:pPr>
            <w:r w:rsidRPr="00E67DC8">
              <w:rPr>
                <w:rFonts w:cs="Arial"/>
                <w:szCs w:val="18"/>
                <w:lang w:val="en-GB"/>
              </w:rPr>
              <w:t>n=</w:t>
            </w:r>
            <w:r>
              <w:rPr>
                <w:rFonts w:cs="Arial"/>
                <w:szCs w:val="18"/>
                <w:lang w:val="en-GB"/>
              </w:rPr>
              <w:t>10</w:t>
            </w:r>
          </w:p>
        </w:tc>
        <w:tc>
          <w:tcPr>
            <w:tcW w:w="650" w:type="dxa"/>
            <w:shd w:val="clear" w:color="auto" w:fill="FFFFFF"/>
          </w:tcPr>
          <w:p w14:paraId="57580320" w14:textId="77777777" w:rsidR="00FA7DC6" w:rsidRDefault="00FA7DC6" w:rsidP="00EE62BA">
            <w:pPr>
              <w:pStyle w:val="CETBodytext"/>
              <w:ind w:right="-1"/>
              <w:rPr>
                <w:rFonts w:cs="Arial"/>
                <w:szCs w:val="18"/>
                <w:lang w:val="en-GB"/>
              </w:rPr>
            </w:pPr>
            <w:r>
              <w:rPr>
                <w:rFonts w:cs="Arial"/>
                <w:szCs w:val="18"/>
                <w:lang w:val="en-GB"/>
              </w:rPr>
              <w:t>n=30</w:t>
            </w:r>
          </w:p>
        </w:tc>
        <w:tc>
          <w:tcPr>
            <w:tcW w:w="484" w:type="dxa"/>
            <w:shd w:val="clear" w:color="auto" w:fill="FFFFFF"/>
          </w:tcPr>
          <w:p w14:paraId="667CBB7D" w14:textId="77777777" w:rsidR="00FA7DC6" w:rsidRPr="00B57B36" w:rsidRDefault="00FA7DC6" w:rsidP="00EE62BA">
            <w:pPr>
              <w:pStyle w:val="CETBodytext"/>
              <w:ind w:right="-1"/>
              <w:rPr>
                <w:rFonts w:cs="Arial"/>
                <w:szCs w:val="18"/>
                <w:lang w:val="en-GB"/>
              </w:rPr>
            </w:pPr>
          </w:p>
        </w:tc>
        <w:tc>
          <w:tcPr>
            <w:tcW w:w="956" w:type="dxa"/>
            <w:shd w:val="clear" w:color="auto" w:fill="FFFFFF"/>
          </w:tcPr>
          <w:p w14:paraId="5A319495" w14:textId="77777777" w:rsidR="00FA7DC6" w:rsidRPr="00B57B36" w:rsidRDefault="00FA7DC6" w:rsidP="00EE62BA">
            <w:pPr>
              <w:pStyle w:val="CETBodytext"/>
              <w:ind w:right="-1"/>
              <w:rPr>
                <w:rFonts w:cs="Arial"/>
                <w:szCs w:val="18"/>
                <w:lang w:val="en-GB"/>
              </w:rPr>
            </w:pPr>
          </w:p>
        </w:tc>
        <w:tc>
          <w:tcPr>
            <w:tcW w:w="900" w:type="dxa"/>
            <w:shd w:val="clear" w:color="auto" w:fill="FFFFFF"/>
          </w:tcPr>
          <w:p w14:paraId="3B1E00BB" w14:textId="77777777" w:rsidR="00FA7DC6" w:rsidRPr="00456B6E" w:rsidRDefault="00FA7DC6" w:rsidP="00EE62BA">
            <w:pPr>
              <w:pStyle w:val="CETBodytext"/>
              <w:ind w:right="-1"/>
              <w:rPr>
                <w:rFonts w:cs="Arial"/>
                <w:szCs w:val="18"/>
                <w:lang w:val="en-GB"/>
              </w:rPr>
            </w:pPr>
            <w:r w:rsidRPr="00456B6E">
              <w:rPr>
                <w:rFonts w:cs="Arial"/>
                <w:szCs w:val="18"/>
                <w:lang w:val="en-GB"/>
              </w:rPr>
              <w:t>n=</w:t>
            </w:r>
            <w:r>
              <w:rPr>
                <w:rFonts w:cs="Arial"/>
                <w:szCs w:val="18"/>
                <w:lang w:val="en-GB"/>
              </w:rPr>
              <w:t>7</w:t>
            </w:r>
            <w:r w:rsidRPr="00EE62BA">
              <w:rPr>
                <w:rFonts w:cs="Arial"/>
                <w:szCs w:val="18"/>
                <w:lang w:val="en-GB"/>
              </w:rPr>
              <w:t>6</w:t>
            </w:r>
            <w:r>
              <w:rPr>
                <w:rFonts w:cs="Arial"/>
                <w:szCs w:val="18"/>
                <w:lang w:val="en-GB"/>
              </w:rPr>
              <w:t>.</w:t>
            </w:r>
            <w:r w:rsidRPr="00EE62BA">
              <w:rPr>
                <w:rFonts w:cs="Arial"/>
                <w:szCs w:val="18"/>
                <w:lang w:val="en-GB"/>
              </w:rPr>
              <w:t>9</w:t>
            </w:r>
            <w:r>
              <w:rPr>
                <w:rFonts w:cs="Arial"/>
                <w:szCs w:val="18"/>
                <w:lang w:val="en-GB"/>
              </w:rPr>
              <w:t>8</w:t>
            </w:r>
          </w:p>
        </w:tc>
        <w:tc>
          <w:tcPr>
            <w:tcW w:w="900" w:type="dxa"/>
            <w:shd w:val="clear" w:color="auto" w:fill="FFFFFF"/>
          </w:tcPr>
          <w:p w14:paraId="090ECF4B" w14:textId="77777777" w:rsidR="00FA7DC6" w:rsidRPr="00E67DC8" w:rsidRDefault="00FA7DC6" w:rsidP="00EE62BA">
            <w:pPr>
              <w:pStyle w:val="CETBodytext"/>
              <w:ind w:right="-1"/>
              <w:rPr>
                <w:rFonts w:cs="Arial"/>
                <w:szCs w:val="18"/>
                <w:lang w:val="en-GB"/>
              </w:rPr>
            </w:pPr>
            <w:r w:rsidRPr="00E67DC8">
              <w:rPr>
                <w:rFonts w:cs="Arial"/>
                <w:szCs w:val="18"/>
                <w:lang w:val="en-GB"/>
              </w:rPr>
              <w:t>n=</w:t>
            </w:r>
            <w:r>
              <w:rPr>
                <w:rFonts w:cs="Arial"/>
                <w:szCs w:val="18"/>
                <w:lang w:val="en-GB"/>
              </w:rPr>
              <w:t>33.01</w:t>
            </w:r>
          </w:p>
        </w:tc>
        <w:tc>
          <w:tcPr>
            <w:tcW w:w="900" w:type="dxa"/>
            <w:shd w:val="clear" w:color="auto" w:fill="FFFFFF"/>
          </w:tcPr>
          <w:p w14:paraId="18331D0E" w14:textId="77777777" w:rsidR="00FA7DC6" w:rsidRDefault="00FA7DC6" w:rsidP="00EE62BA">
            <w:pPr>
              <w:pStyle w:val="CETBodytext"/>
              <w:ind w:right="-1"/>
              <w:rPr>
                <w:rFonts w:cs="Arial"/>
                <w:szCs w:val="18"/>
                <w:lang w:val="en-GB"/>
              </w:rPr>
            </w:pPr>
            <w:r>
              <w:rPr>
                <w:rFonts w:cs="Arial"/>
                <w:szCs w:val="18"/>
                <w:lang w:val="en-GB"/>
              </w:rPr>
              <w:t>n=22.33</w:t>
            </w:r>
          </w:p>
        </w:tc>
        <w:tc>
          <w:tcPr>
            <w:tcW w:w="720" w:type="dxa"/>
            <w:shd w:val="clear" w:color="auto" w:fill="FFFFFF"/>
          </w:tcPr>
          <w:p w14:paraId="7BEE6D63" w14:textId="77777777" w:rsidR="00FA7DC6" w:rsidRDefault="00FA7DC6" w:rsidP="00EE62BA">
            <w:pPr>
              <w:pStyle w:val="CETBodytext"/>
              <w:ind w:right="-1"/>
              <w:rPr>
                <w:rFonts w:cs="Arial"/>
                <w:szCs w:val="18"/>
                <w:lang w:val="en-GB"/>
              </w:rPr>
            </w:pPr>
            <w:r>
              <w:rPr>
                <w:rFonts w:cs="Arial"/>
                <w:szCs w:val="18"/>
                <w:lang w:val="en-GB"/>
              </w:rPr>
              <w:t>n=30</w:t>
            </w:r>
          </w:p>
        </w:tc>
        <w:tc>
          <w:tcPr>
            <w:tcW w:w="720" w:type="dxa"/>
            <w:shd w:val="clear" w:color="auto" w:fill="FFFFFF"/>
          </w:tcPr>
          <w:p w14:paraId="04E75DDD" w14:textId="77777777" w:rsidR="00FA7DC6" w:rsidRDefault="00FA7DC6" w:rsidP="00EE62BA">
            <w:pPr>
              <w:pStyle w:val="CETBodytext"/>
              <w:ind w:right="-1"/>
              <w:rPr>
                <w:rFonts w:cs="Arial"/>
                <w:szCs w:val="18"/>
                <w:lang w:val="en-GB"/>
              </w:rPr>
            </w:pPr>
            <w:r>
              <w:rPr>
                <w:rFonts w:cs="Arial"/>
                <w:szCs w:val="18"/>
                <w:lang w:val="en-GB"/>
              </w:rPr>
              <w:t>n=100</w:t>
            </w:r>
          </w:p>
        </w:tc>
      </w:tr>
      <w:tr w:rsidR="00691A11" w:rsidRPr="00B57B36" w14:paraId="72DC58A3" w14:textId="77777777" w:rsidTr="00691A11">
        <w:tc>
          <w:tcPr>
            <w:tcW w:w="900" w:type="dxa"/>
            <w:shd w:val="clear" w:color="auto" w:fill="FFFFFF"/>
          </w:tcPr>
          <w:p w14:paraId="532907E4" w14:textId="77777777" w:rsidR="00FA7DC6" w:rsidRPr="00B57B36" w:rsidRDefault="00FA7DC6" w:rsidP="00EE62BA">
            <w:pPr>
              <w:pStyle w:val="CETBodytext"/>
              <w:ind w:right="-1"/>
              <w:rPr>
                <w:rFonts w:cs="Arial"/>
                <w:szCs w:val="18"/>
                <w:lang w:val="en-GB"/>
              </w:rPr>
            </w:pPr>
          </w:p>
        </w:tc>
        <w:tc>
          <w:tcPr>
            <w:tcW w:w="801" w:type="dxa"/>
            <w:shd w:val="clear" w:color="auto" w:fill="FFFFFF"/>
          </w:tcPr>
          <w:p w14:paraId="6820A099" w14:textId="77777777" w:rsidR="00FA7DC6" w:rsidRPr="00E67DC8" w:rsidRDefault="00FA7DC6" w:rsidP="00EE62BA">
            <w:pPr>
              <w:pStyle w:val="CETBodytext"/>
              <w:ind w:right="-1"/>
              <w:rPr>
                <w:rFonts w:cs="Arial"/>
                <w:szCs w:val="18"/>
                <w:lang w:val="en-GB"/>
              </w:rPr>
            </w:pPr>
          </w:p>
        </w:tc>
        <w:tc>
          <w:tcPr>
            <w:tcW w:w="709" w:type="dxa"/>
            <w:shd w:val="clear" w:color="auto" w:fill="FFFFFF"/>
          </w:tcPr>
          <w:p w14:paraId="46BE0791" w14:textId="77777777" w:rsidR="00FA7DC6" w:rsidRPr="00E67DC8" w:rsidRDefault="00FA7DC6" w:rsidP="00EE62BA">
            <w:pPr>
              <w:pStyle w:val="CETBodytext"/>
              <w:ind w:right="-1"/>
              <w:rPr>
                <w:rFonts w:cs="Arial"/>
                <w:szCs w:val="18"/>
                <w:lang w:val="en-GB"/>
              </w:rPr>
            </w:pPr>
          </w:p>
        </w:tc>
        <w:tc>
          <w:tcPr>
            <w:tcW w:w="650" w:type="dxa"/>
            <w:shd w:val="clear" w:color="auto" w:fill="FFFFFF"/>
          </w:tcPr>
          <w:p w14:paraId="0335146E" w14:textId="77777777" w:rsidR="00FA7DC6" w:rsidRDefault="00FA7DC6" w:rsidP="00EE62BA">
            <w:pPr>
              <w:pStyle w:val="CETBodytext"/>
              <w:ind w:right="-1"/>
              <w:rPr>
                <w:rFonts w:cs="Arial"/>
                <w:szCs w:val="18"/>
                <w:lang w:val="en-GB"/>
              </w:rPr>
            </w:pPr>
          </w:p>
        </w:tc>
        <w:tc>
          <w:tcPr>
            <w:tcW w:w="484" w:type="dxa"/>
            <w:shd w:val="clear" w:color="auto" w:fill="FFFFFF"/>
          </w:tcPr>
          <w:p w14:paraId="265D6FC4" w14:textId="77777777" w:rsidR="00FA7DC6" w:rsidRPr="00B57B36" w:rsidRDefault="00FA7DC6" w:rsidP="00EE62BA">
            <w:pPr>
              <w:pStyle w:val="CETBodytext"/>
              <w:ind w:right="-1"/>
              <w:rPr>
                <w:rFonts w:cs="Arial"/>
                <w:szCs w:val="18"/>
                <w:lang w:val="en-GB"/>
              </w:rPr>
            </w:pPr>
          </w:p>
        </w:tc>
        <w:tc>
          <w:tcPr>
            <w:tcW w:w="956" w:type="dxa"/>
            <w:shd w:val="clear" w:color="auto" w:fill="FFFFFF"/>
          </w:tcPr>
          <w:p w14:paraId="699587B2" w14:textId="77777777" w:rsidR="00FA7DC6" w:rsidRPr="00B57B36" w:rsidRDefault="00FA7DC6" w:rsidP="00EE62BA">
            <w:pPr>
              <w:pStyle w:val="CETBodytext"/>
              <w:ind w:right="-1"/>
              <w:rPr>
                <w:rFonts w:cs="Arial"/>
                <w:szCs w:val="18"/>
                <w:lang w:val="en-GB"/>
              </w:rPr>
            </w:pPr>
          </w:p>
        </w:tc>
        <w:tc>
          <w:tcPr>
            <w:tcW w:w="900" w:type="dxa"/>
            <w:shd w:val="clear" w:color="auto" w:fill="FFFFFF"/>
          </w:tcPr>
          <w:p w14:paraId="2883B22C" w14:textId="77777777" w:rsidR="00FA7DC6" w:rsidRPr="00456B6E" w:rsidRDefault="00FA7DC6" w:rsidP="00EE62BA">
            <w:pPr>
              <w:pStyle w:val="CETBodytext"/>
              <w:ind w:right="-1"/>
              <w:rPr>
                <w:rFonts w:cs="Arial"/>
                <w:szCs w:val="18"/>
                <w:lang w:val="en-GB"/>
              </w:rPr>
            </w:pPr>
          </w:p>
        </w:tc>
        <w:tc>
          <w:tcPr>
            <w:tcW w:w="900" w:type="dxa"/>
            <w:shd w:val="clear" w:color="auto" w:fill="FFFFFF"/>
          </w:tcPr>
          <w:p w14:paraId="5F571B26" w14:textId="77777777" w:rsidR="00FA7DC6" w:rsidRPr="00E67DC8" w:rsidRDefault="00FA7DC6" w:rsidP="00EE62BA">
            <w:pPr>
              <w:pStyle w:val="CETBodytext"/>
              <w:ind w:right="-1"/>
              <w:rPr>
                <w:rFonts w:cs="Arial"/>
                <w:szCs w:val="18"/>
                <w:lang w:val="en-GB"/>
              </w:rPr>
            </w:pPr>
          </w:p>
        </w:tc>
        <w:tc>
          <w:tcPr>
            <w:tcW w:w="900" w:type="dxa"/>
            <w:shd w:val="clear" w:color="auto" w:fill="FFFFFF"/>
          </w:tcPr>
          <w:p w14:paraId="2BB9607D" w14:textId="77777777" w:rsidR="00FA7DC6" w:rsidRDefault="00FA7DC6" w:rsidP="00EE62BA">
            <w:pPr>
              <w:pStyle w:val="CETBodytext"/>
              <w:ind w:right="-1"/>
              <w:rPr>
                <w:rFonts w:cs="Arial"/>
                <w:szCs w:val="18"/>
                <w:lang w:val="en-GB"/>
              </w:rPr>
            </w:pPr>
          </w:p>
        </w:tc>
        <w:tc>
          <w:tcPr>
            <w:tcW w:w="720" w:type="dxa"/>
            <w:shd w:val="clear" w:color="auto" w:fill="FFFFFF"/>
          </w:tcPr>
          <w:p w14:paraId="01B77388" w14:textId="77777777" w:rsidR="00FA7DC6" w:rsidRDefault="00FA7DC6" w:rsidP="00EE62BA">
            <w:pPr>
              <w:pStyle w:val="CETBodytext"/>
              <w:ind w:right="-1"/>
              <w:rPr>
                <w:rFonts w:cs="Arial"/>
                <w:szCs w:val="18"/>
                <w:lang w:val="en-GB"/>
              </w:rPr>
            </w:pPr>
          </w:p>
        </w:tc>
        <w:tc>
          <w:tcPr>
            <w:tcW w:w="720" w:type="dxa"/>
            <w:shd w:val="clear" w:color="auto" w:fill="FFFFFF"/>
          </w:tcPr>
          <w:p w14:paraId="75D7CCE5" w14:textId="77777777" w:rsidR="00FA7DC6" w:rsidRDefault="00FA7DC6" w:rsidP="00EE62BA">
            <w:pPr>
              <w:pStyle w:val="CETBodytext"/>
              <w:ind w:right="-1"/>
              <w:rPr>
                <w:rFonts w:cs="Arial"/>
                <w:szCs w:val="18"/>
                <w:lang w:val="en-GB"/>
              </w:rPr>
            </w:pPr>
          </w:p>
        </w:tc>
      </w:tr>
      <w:tr w:rsidR="00691A11" w:rsidRPr="00B57B36" w14:paraId="559BA7E0" w14:textId="77777777" w:rsidTr="00691A11">
        <w:tc>
          <w:tcPr>
            <w:tcW w:w="900" w:type="dxa"/>
            <w:shd w:val="clear" w:color="auto" w:fill="FFFFFF"/>
          </w:tcPr>
          <w:p w14:paraId="0A416845" w14:textId="77777777" w:rsidR="00FA7DC6" w:rsidRPr="00B57B36" w:rsidRDefault="00FA7DC6" w:rsidP="00315AFC">
            <w:pPr>
              <w:pStyle w:val="CETBodytext"/>
              <w:ind w:right="-1"/>
              <w:rPr>
                <w:rFonts w:cs="Arial"/>
                <w:szCs w:val="18"/>
                <w:lang w:val="en-GB"/>
              </w:rPr>
            </w:pPr>
            <w:r>
              <w:rPr>
                <w:rFonts w:cs="Arial"/>
                <w:szCs w:val="18"/>
                <w:lang w:val="en-GB"/>
              </w:rPr>
              <w:t>6</w:t>
            </w:r>
          </w:p>
        </w:tc>
        <w:tc>
          <w:tcPr>
            <w:tcW w:w="801" w:type="dxa"/>
            <w:shd w:val="clear" w:color="auto" w:fill="FFFFFF"/>
          </w:tcPr>
          <w:p w14:paraId="0A49C6B5" w14:textId="77777777" w:rsidR="00FA7DC6" w:rsidRPr="00E67DC8" w:rsidRDefault="00FA7DC6" w:rsidP="00315AFC">
            <w:pPr>
              <w:pStyle w:val="CETBodytext"/>
              <w:ind w:right="-1"/>
              <w:rPr>
                <w:rFonts w:cs="Arial"/>
                <w:szCs w:val="18"/>
                <w:lang w:val="en-GB"/>
              </w:rPr>
            </w:pPr>
            <w:r w:rsidRPr="00E67DC8">
              <w:rPr>
                <w:lang w:val="en-GB"/>
              </w:rPr>
              <w:t>C</w:t>
            </w:r>
            <w:r w:rsidRPr="00E67DC8">
              <w:rPr>
                <w:rFonts w:ascii="Cambria Math" w:hAnsi="Cambria Math" w:cs="Cambria Math"/>
                <w:lang w:val="en-GB"/>
              </w:rPr>
              <w:t>₃</w:t>
            </w:r>
            <w:r w:rsidRPr="00E67DC8">
              <w:rPr>
                <w:lang w:val="en-GB"/>
              </w:rPr>
              <w:t>H</w:t>
            </w:r>
            <w:r w:rsidRPr="00E67DC8">
              <w:rPr>
                <w:rFonts w:ascii="Cambria Math" w:hAnsi="Cambria Math" w:cs="Cambria Math"/>
                <w:lang w:val="en-GB"/>
              </w:rPr>
              <w:t>₈</w:t>
            </w:r>
            <w:r w:rsidRPr="00E67DC8">
              <w:rPr>
                <w:lang w:val="en-GB"/>
              </w:rPr>
              <w:t>O</w:t>
            </w:r>
            <w:r w:rsidRPr="00E67DC8">
              <w:rPr>
                <w:rFonts w:ascii="Cambria Math" w:hAnsi="Cambria Math" w:cs="Cambria Math"/>
                <w:lang w:val="en-GB"/>
              </w:rPr>
              <w:t>₃</w:t>
            </w:r>
          </w:p>
        </w:tc>
        <w:tc>
          <w:tcPr>
            <w:tcW w:w="709" w:type="dxa"/>
            <w:shd w:val="clear" w:color="auto" w:fill="FFFFFF"/>
          </w:tcPr>
          <w:p w14:paraId="4B58C49A" w14:textId="77777777" w:rsidR="00FA7DC6" w:rsidRPr="00E67DC8" w:rsidRDefault="00FA7DC6" w:rsidP="00315AFC">
            <w:pPr>
              <w:pStyle w:val="CETBodytext"/>
              <w:ind w:right="-1"/>
              <w:rPr>
                <w:rFonts w:cs="Arial"/>
                <w:szCs w:val="18"/>
                <w:lang w:val="en-GB"/>
              </w:rPr>
            </w:pPr>
            <w:r w:rsidRPr="00E67DC8">
              <w:rPr>
                <w:rFonts w:cs="Arial"/>
                <w:szCs w:val="18"/>
                <w:lang w:val="en-GB"/>
              </w:rPr>
              <w:t>O</w:t>
            </w:r>
            <w:r w:rsidRPr="00E67DC8">
              <w:rPr>
                <w:rFonts w:cs="Arial"/>
                <w:szCs w:val="18"/>
                <w:vertAlign w:val="subscript"/>
                <w:lang w:val="en-GB"/>
              </w:rPr>
              <w:t>2</w:t>
            </w:r>
          </w:p>
        </w:tc>
        <w:tc>
          <w:tcPr>
            <w:tcW w:w="650" w:type="dxa"/>
            <w:shd w:val="clear" w:color="auto" w:fill="FFFFFF"/>
          </w:tcPr>
          <w:p w14:paraId="277B204A" w14:textId="77777777" w:rsidR="00FA7DC6" w:rsidRDefault="00FA7DC6" w:rsidP="00315AFC">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r>
              <w:rPr>
                <w:rFonts w:cs="Arial"/>
                <w:szCs w:val="18"/>
                <w:lang w:val="en-GB"/>
              </w:rPr>
              <w:t>O</w:t>
            </w:r>
          </w:p>
        </w:tc>
        <w:tc>
          <w:tcPr>
            <w:tcW w:w="484" w:type="dxa"/>
            <w:shd w:val="clear" w:color="auto" w:fill="FFFFFF"/>
          </w:tcPr>
          <w:p w14:paraId="39927047" w14:textId="77777777" w:rsidR="00FA7DC6" w:rsidRPr="00B57B36" w:rsidRDefault="00FA7DC6" w:rsidP="00315AFC">
            <w:pPr>
              <w:pStyle w:val="CETBodytext"/>
              <w:ind w:right="-1"/>
              <w:rPr>
                <w:rFonts w:cs="Arial"/>
                <w:szCs w:val="18"/>
                <w:lang w:val="en-GB"/>
              </w:rPr>
            </w:pPr>
          </w:p>
        </w:tc>
        <w:tc>
          <w:tcPr>
            <w:tcW w:w="956" w:type="dxa"/>
            <w:shd w:val="clear" w:color="auto" w:fill="FFFFFF"/>
          </w:tcPr>
          <w:p w14:paraId="41EA32E1" w14:textId="77777777" w:rsidR="00FA7DC6" w:rsidRPr="00B57B36" w:rsidRDefault="00FA7DC6" w:rsidP="00315AFC">
            <w:pPr>
              <w:pStyle w:val="CETBodytext"/>
              <w:ind w:right="-1"/>
              <w:rPr>
                <w:rFonts w:cs="Arial"/>
                <w:szCs w:val="18"/>
                <w:lang w:val="en-GB"/>
              </w:rPr>
            </w:pPr>
          </w:p>
        </w:tc>
        <w:tc>
          <w:tcPr>
            <w:tcW w:w="900" w:type="dxa"/>
            <w:shd w:val="clear" w:color="auto" w:fill="FFFFFF"/>
          </w:tcPr>
          <w:p w14:paraId="50AEA878" w14:textId="77777777" w:rsidR="00FA7DC6" w:rsidRPr="00456B6E" w:rsidRDefault="00FA7DC6" w:rsidP="00315AFC">
            <w:pPr>
              <w:pStyle w:val="CETBodytext"/>
              <w:ind w:right="-1"/>
              <w:rPr>
                <w:rFonts w:cs="Arial"/>
                <w:szCs w:val="18"/>
                <w:lang w:val="en-GB"/>
              </w:rPr>
            </w:pPr>
            <w:r w:rsidRPr="00456B6E">
              <w:rPr>
                <w:rFonts w:cs="Arial"/>
                <w:szCs w:val="18"/>
                <w:lang w:val="en-GB"/>
              </w:rPr>
              <w:t>CH</w:t>
            </w:r>
            <w:r w:rsidRPr="00456B6E">
              <w:rPr>
                <w:rFonts w:cs="Arial"/>
                <w:szCs w:val="18"/>
                <w:vertAlign w:val="subscript"/>
                <w:lang w:val="en-GB"/>
              </w:rPr>
              <w:t>2</w:t>
            </w:r>
            <w:r w:rsidRPr="00456B6E">
              <w:rPr>
                <w:rFonts w:cs="Arial"/>
                <w:szCs w:val="18"/>
                <w:lang w:val="en-GB"/>
              </w:rPr>
              <w:t>O</w:t>
            </w:r>
            <w:r>
              <w:rPr>
                <w:rFonts w:cs="Arial"/>
                <w:szCs w:val="18"/>
                <w:vertAlign w:val="subscript"/>
                <w:lang w:val="en-GB"/>
              </w:rPr>
              <w:t>2</w:t>
            </w:r>
          </w:p>
        </w:tc>
        <w:tc>
          <w:tcPr>
            <w:tcW w:w="900" w:type="dxa"/>
            <w:shd w:val="clear" w:color="auto" w:fill="FFFFFF"/>
          </w:tcPr>
          <w:p w14:paraId="5781EF6A" w14:textId="77777777" w:rsidR="00FA7DC6" w:rsidRPr="00E67DC8" w:rsidRDefault="00FA7DC6" w:rsidP="00315AFC">
            <w:pPr>
              <w:pStyle w:val="CETBodytext"/>
              <w:ind w:right="-1"/>
              <w:rPr>
                <w:rFonts w:cs="Arial"/>
                <w:szCs w:val="18"/>
                <w:lang w:val="en-GB"/>
              </w:rPr>
            </w:pPr>
            <w:r w:rsidRPr="00E67DC8">
              <w:rPr>
                <w:rFonts w:cs="Arial"/>
                <w:szCs w:val="18"/>
                <w:lang w:val="en-GB"/>
              </w:rPr>
              <w:t>C</w:t>
            </w:r>
            <w:r w:rsidRPr="00E67DC8">
              <w:rPr>
                <w:rFonts w:cs="Arial"/>
                <w:szCs w:val="18"/>
                <w:vertAlign w:val="subscript"/>
                <w:lang w:val="en-GB"/>
              </w:rPr>
              <w:t>2</w:t>
            </w:r>
            <w:r w:rsidRPr="00E67DC8">
              <w:rPr>
                <w:rFonts w:cs="Arial"/>
                <w:szCs w:val="18"/>
                <w:lang w:val="en-GB"/>
              </w:rPr>
              <w:t>H</w:t>
            </w:r>
            <w:r w:rsidRPr="00E67DC8">
              <w:rPr>
                <w:rFonts w:cs="Arial"/>
                <w:szCs w:val="18"/>
                <w:vertAlign w:val="subscript"/>
                <w:lang w:val="en-GB"/>
              </w:rPr>
              <w:t>4</w:t>
            </w:r>
            <w:r w:rsidRPr="00E67DC8">
              <w:rPr>
                <w:rFonts w:cs="Arial"/>
                <w:szCs w:val="18"/>
                <w:lang w:val="en-GB"/>
              </w:rPr>
              <w:t>O</w:t>
            </w:r>
            <w:r w:rsidRPr="00E67DC8">
              <w:rPr>
                <w:rFonts w:cs="Arial"/>
                <w:szCs w:val="18"/>
                <w:vertAlign w:val="subscript"/>
                <w:lang w:val="en-GB"/>
              </w:rPr>
              <w:t>3</w:t>
            </w:r>
          </w:p>
        </w:tc>
        <w:tc>
          <w:tcPr>
            <w:tcW w:w="900" w:type="dxa"/>
            <w:shd w:val="clear" w:color="auto" w:fill="FFFFFF"/>
          </w:tcPr>
          <w:p w14:paraId="2ECA9DF6" w14:textId="77777777" w:rsidR="00FA7DC6" w:rsidRDefault="00FA7DC6" w:rsidP="00315AFC">
            <w:pPr>
              <w:pStyle w:val="CETBodytext"/>
              <w:ind w:right="-1"/>
              <w:rPr>
                <w:rFonts w:cs="Arial"/>
                <w:szCs w:val="18"/>
                <w:lang w:val="en-GB"/>
              </w:rPr>
            </w:pPr>
            <w:r w:rsidRPr="00EE62BA">
              <w:rPr>
                <w:rFonts w:cs="Arial"/>
                <w:szCs w:val="18"/>
                <w:lang w:val="en-GB"/>
              </w:rPr>
              <w:t>C</w:t>
            </w:r>
            <w:r w:rsidRPr="00EE62BA">
              <w:rPr>
                <w:rFonts w:cs="Arial"/>
                <w:szCs w:val="18"/>
                <w:vertAlign w:val="subscript"/>
                <w:lang w:val="en-GB"/>
              </w:rPr>
              <w:t>3</w:t>
            </w:r>
            <w:r w:rsidRPr="00EE62BA">
              <w:rPr>
                <w:rFonts w:cs="Arial"/>
                <w:szCs w:val="18"/>
                <w:lang w:val="en-GB"/>
              </w:rPr>
              <w:t>H</w:t>
            </w:r>
            <w:r w:rsidRPr="00EE62BA">
              <w:rPr>
                <w:rFonts w:cs="Arial"/>
                <w:szCs w:val="18"/>
                <w:vertAlign w:val="subscript"/>
                <w:lang w:val="en-GB"/>
              </w:rPr>
              <w:t>6</w:t>
            </w:r>
            <w:r w:rsidRPr="00EE62BA">
              <w:rPr>
                <w:rFonts w:cs="Arial"/>
                <w:szCs w:val="18"/>
                <w:lang w:val="en-GB"/>
              </w:rPr>
              <w:t>O</w:t>
            </w:r>
            <w:r w:rsidRPr="00EE62BA">
              <w:rPr>
                <w:rFonts w:cs="Arial"/>
                <w:szCs w:val="18"/>
                <w:vertAlign w:val="subscript"/>
                <w:lang w:val="en-GB"/>
              </w:rPr>
              <w:t>3</w:t>
            </w:r>
          </w:p>
        </w:tc>
        <w:tc>
          <w:tcPr>
            <w:tcW w:w="720" w:type="dxa"/>
            <w:shd w:val="clear" w:color="auto" w:fill="FFFFFF"/>
          </w:tcPr>
          <w:p w14:paraId="2E1AA1C9" w14:textId="77777777" w:rsidR="00FA7DC6" w:rsidRDefault="00FA7DC6" w:rsidP="00315AFC">
            <w:pPr>
              <w:pStyle w:val="CETBodytext"/>
              <w:ind w:right="-1"/>
              <w:rPr>
                <w:rFonts w:cs="Arial"/>
                <w:szCs w:val="18"/>
                <w:lang w:val="en-GB"/>
              </w:rPr>
            </w:pPr>
            <w:r w:rsidRPr="00EE62BA">
              <w:rPr>
                <w:rFonts w:cs="Arial"/>
                <w:szCs w:val="18"/>
                <w:lang w:val="en-GB"/>
              </w:rPr>
              <w:t>C</w:t>
            </w:r>
            <w:r w:rsidRPr="00EE62BA">
              <w:rPr>
                <w:rFonts w:cs="Arial"/>
                <w:szCs w:val="18"/>
                <w:vertAlign w:val="subscript"/>
                <w:lang w:val="en-GB"/>
              </w:rPr>
              <w:t>3</w:t>
            </w:r>
            <w:r w:rsidRPr="00EE62BA">
              <w:rPr>
                <w:rFonts w:cs="Arial"/>
                <w:szCs w:val="18"/>
                <w:lang w:val="en-GB"/>
              </w:rPr>
              <w:t>H</w:t>
            </w:r>
            <w:r w:rsidRPr="00EE62BA">
              <w:rPr>
                <w:rFonts w:cs="Arial"/>
                <w:szCs w:val="18"/>
                <w:vertAlign w:val="subscript"/>
                <w:lang w:val="en-GB"/>
              </w:rPr>
              <w:t>8</w:t>
            </w:r>
            <w:r w:rsidRPr="00EE62BA">
              <w:rPr>
                <w:rFonts w:cs="Arial"/>
                <w:szCs w:val="18"/>
                <w:lang w:val="en-GB"/>
              </w:rPr>
              <w:t>O</w:t>
            </w:r>
          </w:p>
        </w:tc>
        <w:tc>
          <w:tcPr>
            <w:tcW w:w="720" w:type="dxa"/>
            <w:shd w:val="clear" w:color="auto" w:fill="FFFFFF"/>
          </w:tcPr>
          <w:p w14:paraId="4EBD776E" w14:textId="77777777" w:rsidR="00FA7DC6" w:rsidRDefault="00FA7DC6" w:rsidP="00315AFC">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p>
        </w:tc>
      </w:tr>
      <w:tr w:rsidR="00691A11" w:rsidRPr="00B57B36" w14:paraId="4A7EBF03" w14:textId="77777777" w:rsidTr="00691A11">
        <w:tc>
          <w:tcPr>
            <w:tcW w:w="900" w:type="dxa"/>
            <w:shd w:val="clear" w:color="auto" w:fill="FFFFFF"/>
          </w:tcPr>
          <w:p w14:paraId="4F843250" w14:textId="77777777" w:rsidR="00FA7DC6" w:rsidRPr="00B57B36" w:rsidRDefault="00FA7DC6" w:rsidP="00315AFC">
            <w:pPr>
              <w:pStyle w:val="CETBodytext"/>
              <w:ind w:right="-1"/>
              <w:rPr>
                <w:rFonts w:cs="Arial"/>
                <w:szCs w:val="18"/>
                <w:lang w:val="en-GB"/>
              </w:rPr>
            </w:pPr>
          </w:p>
        </w:tc>
        <w:tc>
          <w:tcPr>
            <w:tcW w:w="801" w:type="dxa"/>
            <w:shd w:val="clear" w:color="auto" w:fill="FFFFFF"/>
          </w:tcPr>
          <w:p w14:paraId="1D8AFD28" w14:textId="77777777" w:rsidR="00FA7DC6" w:rsidRPr="00E67DC8" w:rsidRDefault="00FA7DC6" w:rsidP="00315AFC">
            <w:pPr>
              <w:pStyle w:val="CETBodytext"/>
              <w:ind w:right="-1"/>
              <w:rPr>
                <w:rFonts w:cs="Arial"/>
                <w:szCs w:val="18"/>
                <w:lang w:val="en-GB"/>
              </w:rPr>
            </w:pPr>
            <w:r w:rsidRPr="00E67DC8">
              <w:rPr>
                <w:rFonts w:cs="Arial"/>
                <w:szCs w:val="18"/>
                <w:lang w:val="en-GB"/>
              </w:rPr>
              <w:t>n=100</w:t>
            </w:r>
          </w:p>
        </w:tc>
        <w:tc>
          <w:tcPr>
            <w:tcW w:w="709" w:type="dxa"/>
            <w:shd w:val="clear" w:color="auto" w:fill="FFFFFF"/>
          </w:tcPr>
          <w:p w14:paraId="781EB60E" w14:textId="77777777" w:rsidR="00FA7DC6" w:rsidRPr="00E67DC8" w:rsidRDefault="00FA7DC6" w:rsidP="00315AFC">
            <w:pPr>
              <w:pStyle w:val="CETBodytext"/>
              <w:ind w:right="-1"/>
              <w:rPr>
                <w:rFonts w:cs="Arial"/>
                <w:szCs w:val="18"/>
                <w:lang w:val="en-GB"/>
              </w:rPr>
            </w:pPr>
            <w:r w:rsidRPr="00E67DC8">
              <w:rPr>
                <w:rFonts w:cs="Arial"/>
                <w:szCs w:val="18"/>
                <w:lang w:val="en-GB"/>
              </w:rPr>
              <w:t>n=</w:t>
            </w:r>
            <w:r>
              <w:rPr>
                <w:rFonts w:cs="Arial"/>
                <w:szCs w:val="18"/>
                <w:lang w:val="en-GB"/>
              </w:rPr>
              <w:t>15</w:t>
            </w:r>
          </w:p>
        </w:tc>
        <w:tc>
          <w:tcPr>
            <w:tcW w:w="650" w:type="dxa"/>
            <w:shd w:val="clear" w:color="auto" w:fill="FFFFFF"/>
          </w:tcPr>
          <w:p w14:paraId="4D3B1EB6" w14:textId="77777777" w:rsidR="00FA7DC6" w:rsidRDefault="00FA7DC6" w:rsidP="00315AFC">
            <w:pPr>
              <w:pStyle w:val="CETBodytext"/>
              <w:ind w:right="-1"/>
              <w:rPr>
                <w:rFonts w:cs="Arial"/>
                <w:szCs w:val="18"/>
                <w:lang w:val="en-GB"/>
              </w:rPr>
            </w:pPr>
            <w:r>
              <w:rPr>
                <w:rFonts w:cs="Arial"/>
                <w:szCs w:val="18"/>
                <w:lang w:val="en-GB"/>
              </w:rPr>
              <w:t>n=30</w:t>
            </w:r>
          </w:p>
        </w:tc>
        <w:tc>
          <w:tcPr>
            <w:tcW w:w="484" w:type="dxa"/>
            <w:shd w:val="clear" w:color="auto" w:fill="FFFFFF"/>
          </w:tcPr>
          <w:p w14:paraId="70160E0C" w14:textId="77777777" w:rsidR="00FA7DC6" w:rsidRPr="00B57B36" w:rsidRDefault="00FA7DC6" w:rsidP="00315AFC">
            <w:pPr>
              <w:pStyle w:val="CETBodytext"/>
              <w:ind w:right="-1"/>
              <w:rPr>
                <w:rFonts w:cs="Arial"/>
                <w:szCs w:val="18"/>
                <w:lang w:val="en-GB"/>
              </w:rPr>
            </w:pPr>
          </w:p>
        </w:tc>
        <w:tc>
          <w:tcPr>
            <w:tcW w:w="956" w:type="dxa"/>
            <w:shd w:val="clear" w:color="auto" w:fill="FFFFFF"/>
          </w:tcPr>
          <w:p w14:paraId="1925CBB6" w14:textId="77777777" w:rsidR="00FA7DC6" w:rsidRPr="00B57B36" w:rsidRDefault="00FA7DC6" w:rsidP="00315AFC">
            <w:pPr>
              <w:pStyle w:val="CETBodytext"/>
              <w:ind w:right="-1"/>
              <w:rPr>
                <w:rFonts w:cs="Arial"/>
                <w:szCs w:val="18"/>
                <w:lang w:val="en-GB"/>
              </w:rPr>
            </w:pPr>
          </w:p>
        </w:tc>
        <w:tc>
          <w:tcPr>
            <w:tcW w:w="900" w:type="dxa"/>
            <w:shd w:val="clear" w:color="auto" w:fill="FFFFFF"/>
          </w:tcPr>
          <w:p w14:paraId="5A04C794" w14:textId="738FE998" w:rsidR="00FA7DC6" w:rsidRPr="00456B6E" w:rsidRDefault="00FA7DC6" w:rsidP="00315AFC">
            <w:pPr>
              <w:pStyle w:val="CETBodytext"/>
              <w:ind w:right="-1"/>
              <w:rPr>
                <w:rFonts w:cs="Arial"/>
                <w:szCs w:val="18"/>
                <w:lang w:val="en-GB"/>
              </w:rPr>
            </w:pPr>
            <w:r w:rsidRPr="00456B6E">
              <w:rPr>
                <w:rFonts w:cs="Arial"/>
                <w:szCs w:val="18"/>
                <w:lang w:val="en-GB"/>
              </w:rPr>
              <w:t>n=</w:t>
            </w:r>
            <w:r>
              <w:rPr>
                <w:rFonts w:cs="Arial"/>
                <w:szCs w:val="18"/>
                <w:lang w:val="en-GB"/>
              </w:rPr>
              <w:t>57.0</w:t>
            </w:r>
            <w:r w:rsidR="00D51090">
              <w:rPr>
                <w:rFonts w:cs="Arial"/>
                <w:szCs w:val="18"/>
                <w:lang w:val="en-GB"/>
              </w:rPr>
              <w:t>4</w:t>
            </w:r>
          </w:p>
        </w:tc>
        <w:tc>
          <w:tcPr>
            <w:tcW w:w="900" w:type="dxa"/>
            <w:shd w:val="clear" w:color="auto" w:fill="FFFFFF"/>
          </w:tcPr>
          <w:p w14:paraId="04695708" w14:textId="77777777" w:rsidR="00FA7DC6" w:rsidRPr="00E67DC8" w:rsidRDefault="00FA7DC6" w:rsidP="00315AFC">
            <w:pPr>
              <w:pStyle w:val="CETBodytext"/>
              <w:ind w:right="-1"/>
              <w:rPr>
                <w:rFonts w:cs="Arial"/>
                <w:szCs w:val="18"/>
                <w:lang w:val="en-GB"/>
              </w:rPr>
            </w:pPr>
            <w:r w:rsidRPr="00E67DC8">
              <w:rPr>
                <w:rFonts w:cs="Arial"/>
                <w:szCs w:val="18"/>
                <w:lang w:val="en-GB"/>
              </w:rPr>
              <w:t>n=</w:t>
            </w:r>
            <w:r>
              <w:rPr>
                <w:rFonts w:cs="Arial"/>
                <w:szCs w:val="18"/>
                <w:lang w:val="en-GB"/>
              </w:rPr>
              <w:t>62.96</w:t>
            </w:r>
          </w:p>
        </w:tc>
        <w:tc>
          <w:tcPr>
            <w:tcW w:w="900" w:type="dxa"/>
            <w:shd w:val="clear" w:color="auto" w:fill="FFFFFF"/>
          </w:tcPr>
          <w:p w14:paraId="583C6E59" w14:textId="77777777" w:rsidR="00FA7DC6" w:rsidRDefault="00FA7DC6" w:rsidP="00315AFC">
            <w:pPr>
              <w:pStyle w:val="CETBodytext"/>
              <w:ind w:right="-1"/>
              <w:rPr>
                <w:rFonts w:cs="Arial"/>
                <w:szCs w:val="18"/>
                <w:lang w:val="en-GB"/>
              </w:rPr>
            </w:pPr>
            <w:r>
              <w:rPr>
                <w:rFonts w:cs="Arial"/>
                <w:szCs w:val="18"/>
                <w:lang w:val="en-GB"/>
              </w:rPr>
              <w:t>n=9,01</w:t>
            </w:r>
          </w:p>
        </w:tc>
        <w:tc>
          <w:tcPr>
            <w:tcW w:w="720" w:type="dxa"/>
            <w:shd w:val="clear" w:color="auto" w:fill="FFFFFF"/>
          </w:tcPr>
          <w:p w14:paraId="21623F20" w14:textId="77777777" w:rsidR="00FA7DC6" w:rsidRDefault="00FA7DC6" w:rsidP="00315AFC">
            <w:pPr>
              <w:pStyle w:val="CETBodytext"/>
              <w:ind w:right="-1"/>
              <w:rPr>
                <w:rFonts w:cs="Arial"/>
                <w:szCs w:val="18"/>
                <w:lang w:val="en-GB"/>
              </w:rPr>
            </w:pPr>
            <w:r>
              <w:rPr>
                <w:rFonts w:cs="Arial"/>
                <w:szCs w:val="18"/>
                <w:lang w:val="en-GB"/>
              </w:rPr>
              <w:t>n=30</w:t>
            </w:r>
          </w:p>
        </w:tc>
        <w:tc>
          <w:tcPr>
            <w:tcW w:w="720" w:type="dxa"/>
            <w:shd w:val="clear" w:color="auto" w:fill="FFFFFF"/>
          </w:tcPr>
          <w:p w14:paraId="511C6C97" w14:textId="77777777" w:rsidR="00FA7DC6" w:rsidRDefault="00FA7DC6" w:rsidP="00315AFC">
            <w:pPr>
              <w:pStyle w:val="CETBodytext"/>
              <w:ind w:right="-1"/>
              <w:rPr>
                <w:rFonts w:cs="Arial"/>
                <w:szCs w:val="18"/>
                <w:lang w:val="en-GB"/>
              </w:rPr>
            </w:pPr>
            <w:r>
              <w:rPr>
                <w:rFonts w:cs="Arial"/>
                <w:szCs w:val="18"/>
                <w:lang w:val="en-GB"/>
              </w:rPr>
              <w:t>n=100</w:t>
            </w:r>
          </w:p>
        </w:tc>
      </w:tr>
      <w:tr w:rsidR="00691A11" w:rsidRPr="00B57B36" w14:paraId="03C27E81" w14:textId="77777777" w:rsidTr="00691A11">
        <w:tc>
          <w:tcPr>
            <w:tcW w:w="900" w:type="dxa"/>
            <w:shd w:val="clear" w:color="auto" w:fill="FFFFFF"/>
          </w:tcPr>
          <w:p w14:paraId="7B72ADFA" w14:textId="77777777" w:rsidR="00FA7DC6" w:rsidRPr="00B57B36" w:rsidRDefault="00FA7DC6" w:rsidP="00315AFC">
            <w:pPr>
              <w:pStyle w:val="CETBodytext"/>
              <w:ind w:right="-1"/>
              <w:rPr>
                <w:rFonts w:cs="Arial"/>
                <w:szCs w:val="18"/>
                <w:lang w:val="en-GB"/>
              </w:rPr>
            </w:pPr>
          </w:p>
        </w:tc>
        <w:tc>
          <w:tcPr>
            <w:tcW w:w="801" w:type="dxa"/>
            <w:shd w:val="clear" w:color="auto" w:fill="FFFFFF"/>
          </w:tcPr>
          <w:p w14:paraId="7989527E" w14:textId="77777777" w:rsidR="00FA7DC6" w:rsidRPr="00E67DC8" w:rsidRDefault="00FA7DC6" w:rsidP="00315AFC">
            <w:pPr>
              <w:pStyle w:val="CETBodytext"/>
              <w:ind w:right="-1"/>
              <w:rPr>
                <w:rFonts w:cs="Arial"/>
                <w:szCs w:val="18"/>
                <w:lang w:val="en-GB"/>
              </w:rPr>
            </w:pPr>
          </w:p>
        </w:tc>
        <w:tc>
          <w:tcPr>
            <w:tcW w:w="709" w:type="dxa"/>
            <w:shd w:val="clear" w:color="auto" w:fill="FFFFFF"/>
          </w:tcPr>
          <w:p w14:paraId="242EA396" w14:textId="77777777" w:rsidR="00FA7DC6" w:rsidRPr="00E67DC8" w:rsidRDefault="00FA7DC6" w:rsidP="00315AFC">
            <w:pPr>
              <w:pStyle w:val="CETBodytext"/>
              <w:ind w:right="-1"/>
              <w:rPr>
                <w:rFonts w:cs="Arial"/>
                <w:szCs w:val="18"/>
                <w:lang w:val="en-GB"/>
              </w:rPr>
            </w:pPr>
          </w:p>
        </w:tc>
        <w:tc>
          <w:tcPr>
            <w:tcW w:w="650" w:type="dxa"/>
            <w:shd w:val="clear" w:color="auto" w:fill="FFFFFF"/>
          </w:tcPr>
          <w:p w14:paraId="2C46760E" w14:textId="77777777" w:rsidR="00FA7DC6" w:rsidRDefault="00FA7DC6" w:rsidP="00315AFC">
            <w:pPr>
              <w:pStyle w:val="CETBodytext"/>
              <w:ind w:right="-1"/>
              <w:rPr>
                <w:rFonts w:cs="Arial"/>
                <w:szCs w:val="18"/>
                <w:lang w:val="en-GB"/>
              </w:rPr>
            </w:pPr>
          </w:p>
        </w:tc>
        <w:tc>
          <w:tcPr>
            <w:tcW w:w="484" w:type="dxa"/>
            <w:shd w:val="clear" w:color="auto" w:fill="FFFFFF"/>
          </w:tcPr>
          <w:p w14:paraId="262BB248" w14:textId="77777777" w:rsidR="00FA7DC6" w:rsidRPr="00B57B36" w:rsidRDefault="00FA7DC6" w:rsidP="00315AFC">
            <w:pPr>
              <w:pStyle w:val="CETBodytext"/>
              <w:ind w:right="-1"/>
              <w:rPr>
                <w:rFonts w:cs="Arial"/>
                <w:szCs w:val="18"/>
                <w:lang w:val="en-GB"/>
              </w:rPr>
            </w:pPr>
          </w:p>
        </w:tc>
        <w:tc>
          <w:tcPr>
            <w:tcW w:w="956" w:type="dxa"/>
            <w:shd w:val="clear" w:color="auto" w:fill="FFFFFF"/>
          </w:tcPr>
          <w:p w14:paraId="75633AA9" w14:textId="77777777" w:rsidR="00FA7DC6" w:rsidRPr="00B57B36" w:rsidRDefault="00FA7DC6" w:rsidP="00315AFC">
            <w:pPr>
              <w:pStyle w:val="CETBodytext"/>
              <w:ind w:right="-1"/>
              <w:rPr>
                <w:rFonts w:cs="Arial"/>
                <w:szCs w:val="18"/>
                <w:lang w:val="en-GB"/>
              </w:rPr>
            </w:pPr>
          </w:p>
        </w:tc>
        <w:tc>
          <w:tcPr>
            <w:tcW w:w="900" w:type="dxa"/>
            <w:shd w:val="clear" w:color="auto" w:fill="FFFFFF"/>
          </w:tcPr>
          <w:p w14:paraId="7ACE62AC" w14:textId="77777777" w:rsidR="00FA7DC6" w:rsidRPr="00456B6E" w:rsidRDefault="00FA7DC6" w:rsidP="00315AFC">
            <w:pPr>
              <w:pStyle w:val="CETBodytext"/>
              <w:ind w:right="-1"/>
              <w:rPr>
                <w:rFonts w:cs="Arial"/>
                <w:szCs w:val="18"/>
                <w:lang w:val="en-GB"/>
              </w:rPr>
            </w:pPr>
          </w:p>
        </w:tc>
        <w:tc>
          <w:tcPr>
            <w:tcW w:w="900" w:type="dxa"/>
            <w:shd w:val="clear" w:color="auto" w:fill="FFFFFF"/>
          </w:tcPr>
          <w:p w14:paraId="5AAC554C" w14:textId="77777777" w:rsidR="00FA7DC6" w:rsidRPr="00E67DC8" w:rsidRDefault="00FA7DC6" w:rsidP="00315AFC">
            <w:pPr>
              <w:pStyle w:val="CETBodytext"/>
              <w:ind w:right="-1"/>
              <w:rPr>
                <w:rFonts w:cs="Arial"/>
                <w:szCs w:val="18"/>
                <w:lang w:val="en-GB"/>
              </w:rPr>
            </w:pPr>
          </w:p>
        </w:tc>
        <w:tc>
          <w:tcPr>
            <w:tcW w:w="900" w:type="dxa"/>
            <w:shd w:val="clear" w:color="auto" w:fill="FFFFFF"/>
          </w:tcPr>
          <w:p w14:paraId="20512558" w14:textId="77777777" w:rsidR="00FA7DC6" w:rsidRDefault="00FA7DC6" w:rsidP="00315AFC">
            <w:pPr>
              <w:pStyle w:val="CETBodytext"/>
              <w:ind w:right="-1"/>
              <w:rPr>
                <w:rFonts w:cs="Arial"/>
                <w:szCs w:val="18"/>
                <w:lang w:val="en-GB"/>
              </w:rPr>
            </w:pPr>
          </w:p>
        </w:tc>
        <w:tc>
          <w:tcPr>
            <w:tcW w:w="720" w:type="dxa"/>
            <w:shd w:val="clear" w:color="auto" w:fill="FFFFFF"/>
          </w:tcPr>
          <w:p w14:paraId="6412678D" w14:textId="77777777" w:rsidR="00FA7DC6" w:rsidRDefault="00FA7DC6" w:rsidP="00315AFC">
            <w:pPr>
              <w:pStyle w:val="CETBodytext"/>
              <w:ind w:right="-1"/>
              <w:rPr>
                <w:rFonts w:cs="Arial"/>
                <w:szCs w:val="18"/>
                <w:lang w:val="en-GB"/>
              </w:rPr>
            </w:pPr>
          </w:p>
        </w:tc>
        <w:tc>
          <w:tcPr>
            <w:tcW w:w="720" w:type="dxa"/>
            <w:shd w:val="clear" w:color="auto" w:fill="FFFFFF"/>
          </w:tcPr>
          <w:p w14:paraId="311B6A1C" w14:textId="77777777" w:rsidR="00FA7DC6" w:rsidRDefault="00FA7DC6" w:rsidP="00315AFC">
            <w:pPr>
              <w:pStyle w:val="CETBodytext"/>
              <w:ind w:right="-1"/>
              <w:rPr>
                <w:rFonts w:cs="Arial"/>
                <w:szCs w:val="18"/>
                <w:lang w:val="en-GB"/>
              </w:rPr>
            </w:pPr>
          </w:p>
        </w:tc>
      </w:tr>
      <w:tr w:rsidR="00691A11" w:rsidRPr="00B57B36" w14:paraId="130AB97F" w14:textId="77777777" w:rsidTr="00691A11">
        <w:tc>
          <w:tcPr>
            <w:tcW w:w="900" w:type="dxa"/>
            <w:shd w:val="clear" w:color="auto" w:fill="FFFFFF"/>
          </w:tcPr>
          <w:p w14:paraId="577BD588" w14:textId="77777777" w:rsidR="00663A44" w:rsidRPr="00B57B36" w:rsidRDefault="00663A44" w:rsidP="00663A44">
            <w:pPr>
              <w:pStyle w:val="CETBodytext"/>
              <w:ind w:right="-1"/>
              <w:rPr>
                <w:rFonts w:cs="Arial"/>
                <w:szCs w:val="18"/>
                <w:lang w:val="en-GB"/>
              </w:rPr>
            </w:pPr>
            <w:r>
              <w:rPr>
                <w:rFonts w:cs="Arial"/>
                <w:szCs w:val="18"/>
                <w:lang w:val="en-GB"/>
              </w:rPr>
              <w:t>7</w:t>
            </w:r>
          </w:p>
        </w:tc>
        <w:tc>
          <w:tcPr>
            <w:tcW w:w="801" w:type="dxa"/>
            <w:shd w:val="clear" w:color="auto" w:fill="FFFFFF"/>
          </w:tcPr>
          <w:p w14:paraId="44BBA4DD" w14:textId="77777777" w:rsidR="00663A44" w:rsidRPr="00E67DC8" w:rsidRDefault="00663A44" w:rsidP="00663A44">
            <w:pPr>
              <w:pStyle w:val="CETBodytext"/>
              <w:ind w:right="-1"/>
              <w:rPr>
                <w:rFonts w:cs="Arial"/>
                <w:szCs w:val="18"/>
                <w:lang w:val="en-GB"/>
              </w:rPr>
            </w:pPr>
            <w:r w:rsidRPr="00E67DC8">
              <w:rPr>
                <w:lang w:val="en-GB"/>
              </w:rPr>
              <w:t>C</w:t>
            </w:r>
            <w:r w:rsidRPr="00E67DC8">
              <w:rPr>
                <w:rFonts w:ascii="Cambria Math" w:hAnsi="Cambria Math" w:cs="Cambria Math"/>
                <w:lang w:val="en-GB"/>
              </w:rPr>
              <w:t>₃</w:t>
            </w:r>
            <w:r w:rsidRPr="00E67DC8">
              <w:rPr>
                <w:lang w:val="en-GB"/>
              </w:rPr>
              <w:t>H</w:t>
            </w:r>
            <w:r w:rsidRPr="00E67DC8">
              <w:rPr>
                <w:rFonts w:ascii="Cambria Math" w:hAnsi="Cambria Math" w:cs="Cambria Math"/>
                <w:lang w:val="en-GB"/>
              </w:rPr>
              <w:t>₈</w:t>
            </w:r>
            <w:r w:rsidRPr="00E67DC8">
              <w:rPr>
                <w:lang w:val="en-GB"/>
              </w:rPr>
              <w:t>O</w:t>
            </w:r>
            <w:r w:rsidRPr="00E67DC8">
              <w:rPr>
                <w:rFonts w:ascii="Cambria Math" w:hAnsi="Cambria Math" w:cs="Cambria Math"/>
                <w:lang w:val="en-GB"/>
              </w:rPr>
              <w:t>₃</w:t>
            </w:r>
          </w:p>
        </w:tc>
        <w:tc>
          <w:tcPr>
            <w:tcW w:w="709" w:type="dxa"/>
            <w:shd w:val="clear" w:color="auto" w:fill="FFFFFF"/>
          </w:tcPr>
          <w:p w14:paraId="6DB07FAF" w14:textId="77777777" w:rsidR="00663A44" w:rsidRPr="00E67DC8" w:rsidRDefault="00663A44" w:rsidP="00663A44">
            <w:pPr>
              <w:pStyle w:val="CETBodytext"/>
              <w:ind w:right="-1"/>
              <w:rPr>
                <w:rFonts w:cs="Arial"/>
                <w:szCs w:val="18"/>
                <w:lang w:val="en-GB"/>
              </w:rPr>
            </w:pPr>
            <w:r w:rsidRPr="00E67DC8">
              <w:rPr>
                <w:rFonts w:cs="Arial"/>
                <w:szCs w:val="18"/>
                <w:lang w:val="en-GB"/>
              </w:rPr>
              <w:t>O</w:t>
            </w:r>
            <w:r w:rsidRPr="00E67DC8">
              <w:rPr>
                <w:rFonts w:cs="Arial"/>
                <w:szCs w:val="18"/>
                <w:vertAlign w:val="subscript"/>
                <w:lang w:val="en-GB"/>
              </w:rPr>
              <w:t>2</w:t>
            </w:r>
          </w:p>
        </w:tc>
        <w:tc>
          <w:tcPr>
            <w:tcW w:w="650" w:type="dxa"/>
            <w:shd w:val="clear" w:color="auto" w:fill="FFFFFF"/>
          </w:tcPr>
          <w:p w14:paraId="271F4EC4" w14:textId="77777777" w:rsidR="00663A44" w:rsidRDefault="00663A44" w:rsidP="00663A44">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r>
              <w:rPr>
                <w:rFonts w:cs="Arial"/>
                <w:szCs w:val="18"/>
                <w:lang w:val="en-GB"/>
              </w:rPr>
              <w:t>O</w:t>
            </w:r>
          </w:p>
        </w:tc>
        <w:tc>
          <w:tcPr>
            <w:tcW w:w="484" w:type="dxa"/>
            <w:shd w:val="clear" w:color="auto" w:fill="FFFFFF"/>
          </w:tcPr>
          <w:p w14:paraId="771D8825" w14:textId="77777777" w:rsidR="00663A44" w:rsidRPr="00B57B36" w:rsidRDefault="00663A44" w:rsidP="00663A44">
            <w:pPr>
              <w:pStyle w:val="CETBodytext"/>
              <w:ind w:right="-1"/>
              <w:rPr>
                <w:rFonts w:cs="Arial"/>
                <w:szCs w:val="18"/>
                <w:lang w:val="en-GB"/>
              </w:rPr>
            </w:pPr>
            <w:r>
              <w:rPr>
                <w:rFonts w:cs="Arial"/>
                <w:szCs w:val="18"/>
                <w:lang w:val="en-GB"/>
              </w:rPr>
              <w:t>N</w:t>
            </w:r>
            <w:r w:rsidRPr="00663A44">
              <w:rPr>
                <w:rFonts w:cs="Arial"/>
                <w:szCs w:val="18"/>
                <w:vertAlign w:val="subscript"/>
                <w:lang w:val="en-GB"/>
              </w:rPr>
              <w:t>2</w:t>
            </w:r>
          </w:p>
        </w:tc>
        <w:tc>
          <w:tcPr>
            <w:tcW w:w="956" w:type="dxa"/>
            <w:shd w:val="clear" w:color="auto" w:fill="FFFFFF"/>
          </w:tcPr>
          <w:p w14:paraId="42FCF691" w14:textId="77777777" w:rsidR="00663A44" w:rsidRPr="00B57B36" w:rsidRDefault="00663A44" w:rsidP="00663A44">
            <w:pPr>
              <w:pStyle w:val="CETBodytext"/>
              <w:ind w:right="-1"/>
              <w:rPr>
                <w:rFonts w:cs="Arial"/>
                <w:szCs w:val="18"/>
                <w:lang w:val="en-GB"/>
              </w:rPr>
            </w:pPr>
          </w:p>
        </w:tc>
        <w:tc>
          <w:tcPr>
            <w:tcW w:w="900" w:type="dxa"/>
            <w:shd w:val="clear" w:color="auto" w:fill="FFFFFF"/>
          </w:tcPr>
          <w:p w14:paraId="7D8BEDB7" w14:textId="77777777" w:rsidR="00663A44" w:rsidRPr="00456B6E" w:rsidRDefault="00663A44" w:rsidP="00663A44">
            <w:pPr>
              <w:pStyle w:val="CETBodytext"/>
              <w:ind w:right="-1"/>
              <w:rPr>
                <w:rFonts w:cs="Arial"/>
                <w:szCs w:val="18"/>
                <w:lang w:val="en-GB"/>
              </w:rPr>
            </w:pPr>
            <w:r w:rsidRPr="00456B6E">
              <w:rPr>
                <w:rFonts w:cs="Arial"/>
                <w:szCs w:val="18"/>
                <w:lang w:val="en-GB"/>
              </w:rPr>
              <w:t>CH</w:t>
            </w:r>
            <w:r w:rsidRPr="00456B6E">
              <w:rPr>
                <w:rFonts w:cs="Arial"/>
                <w:szCs w:val="18"/>
                <w:vertAlign w:val="subscript"/>
                <w:lang w:val="en-GB"/>
              </w:rPr>
              <w:t>2</w:t>
            </w:r>
            <w:r w:rsidRPr="00456B6E">
              <w:rPr>
                <w:rFonts w:cs="Arial"/>
                <w:szCs w:val="18"/>
                <w:lang w:val="en-GB"/>
              </w:rPr>
              <w:t>O</w:t>
            </w:r>
            <w:r>
              <w:rPr>
                <w:rFonts w:cs="Arial"/>
                <w:szCs w:val="18"/>
                <w:vertAlign w:val="subscript"/>
                <w:lang w:val="en-GB"/>
              </w:rPr>
              <w:t>2</w:t>
            </w:r>
          </w:p>
        </w:tc>
        <w:tc>
          <w:tcPr>
            <w:tcW w:w="900" w:type="dxa"/>
            <w:shd w:val="clear" w:color="auto" w:fill="FFFFFF"/>
          </w:tcPr>
          <w:p w14:paraId="7C2B8BE6" w14:textId="77777777" w:rsidR="00663A44" w:rsidRPr="00E67DC8" w:rsidRDefault="00663A44" w:rsidP="00663A44">
            <w:pPr>
              <w:pStyle w:val="CETBodytext"/>
              <w:ind w:right="-1"/>
              <w:rPr>
                <w:rFonts w:cs="Arial"/>
                <w:szCs w:val="18"/>
                <w:lang w:val="en-GB"/>
              </w:rPr>
            </w:pPr>
            <w:r w:rsidRPr="00E67DC8">
              <w:rPr>
                <w:rFonts w:cs="Arial"/>
                <w:szCs w:val="18"/>
                <w:lang w:val="en-GB"/>
              </w:rPr>
              <w:t>C</w:t>
            </w:r>
            <w:r w:rsidRPr="00E67DC8">
              <w:rPr>
                <w:rFonts w:cs="Arial"/>
                <w:szCs w:val="18"/>
                <w:vertAlign w:val="subscript"/>
                <w:lang w:val="en-GB"/>
              </w:rPr>
              <w:t>2</w:t>
            </w:r>
            <w:r w:rsidRPr="00E67DC8">
              <w:rPr>
                <w:rFonts w:cs="Arial"/>
                <w:szCs w:val="18"/>
                <w:lang w:val="en-GB"/>
              </w:rPr>
              <w:t>H</w:t>
            </w:r>
            <w:r w:rsidRPr="00E67DC8">
              <w:rPr>
                <w:rFonts w:cs="Arial"/>
                <w:szCs w:val="18"/>
                <w:vertAlign w:val="subscript"/>
                <w:lang w:val="en-GB"/>
              </w:rPr>
              <w:t>4</w:t>
            </w:r>
            <w:r w:rsidRPr="00E67DC8">
              <w:rPr>
                <w:rFonts w:cs="Arial"/>
                <w:szCs w:val="18"/>
                <w:lang w:val="en-GB"/>
              </w:rPr>
              <w:t>O</w:t>
            </w:r>
            <w:r w:rsidRPr="00E67DC8">
              <w:rPr>
                <w:rFonts w:cs="Arial"/>
                <w:szCs w:val="18"/>
                <w:vertAlign w:val="subscript"/>
                <w:lang w:val="en-GB"/>
              </w:rPr>
              <w:t>3</w:t>
            </w:r>
          </w:p>
        </w:tc>
        <w:tc>
          <w:tcPr>
            <w:tcW w:w="900" w:type="dxa"/>
            <w:shd w:val="clear" w:color="auto" w:fill="FFFFFF"/>
          </w:tcPr>
          <w:p w14:paraId="2DA2F1AA" w14:textId="77777777" w:rsidR="00663A44" w:rsidRDefault="00663A44" w:rsidP="00663A44">
            <w:pPr>
              <w:pStyle w:val="CETBodytext"/>
              <w:ind w:right="-1"/>
              <w:rPr>
                <w:rFonts w:cs="Arial"/>
                <w:szCs w:val="18"/>
                <w:lang w:val="en-GB"/>
              </w:rPr>
            </w:pPr>
            <w:r w:rsidRPr="00EE62BA">
              <w:rPr>
                <w:rFonts w:cs="Arial"/>
                <w:szCs w:val="18"/>
                <w:lang w:val="en-GB"/>
              </w:rPr>
              <w:t>C</w:t>
            </w:r>
            <w:r w:rsidRPr="00EE62BA">
              <w:rPr>
                <w:rFonts w:cs="Arial"/>
                <w:szCs w:val="18"/>
                <w:vertAlign w:val="subscript"/>
                <w:lang w:val="en-GB"/>
              </w:rPr>
              <w:t>3</w:t>
            </w:r>
            <w:r w:rsidRPr="00EE62BA">
              <w:rPr>
                <w:rFonts w:cs="Arial"/>
                <w:szCs w:val="18"/>
                <w:lang w:val="en-GB"/>
              </w:rPr>
              <w:t>H</w:t>
            </w:r>
            <w:r>
              <w:rPr>
                <w:rFonts w:cs="Arial"/>
                <w:szCs w:val="18"/>
                <w:vertAlign w:val="subscript"/>
                <w:lang w:val="en-GB"/>
              </w:rPr>
              <w:t>3</w:t>
            </w:r>
            <w:r>
              <w:rPr>
                <w:rFonts w:cs="Arial"/>
                <w:szCs w:val="18"/>
                <w:lang w:val="en-GB"/>
              </w:rPr>
              <w:t>N</w:t>
            </w:r>
          </w:p>
        </w:tc>
        <w:tc>
          <w:tcPr>
            <w:tcW w:w="720" w:type="dxa"/>
            <w:shd w:val="clear" w:color="auto" w:fill="FFFFFF"/>
          </w:tcPr>
          <w:p w14:paraId="5F1DCB04" w14:textId="77777777" w:rsidR="00663A44" w:rsidRDefault="00663A44" w:rsidP="00663A44">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p>
        </w:tc>
        <w:tc>
          <w:tcPr>
            <w:tcW w:w="720" w:type="dxa"/>
            <w:shd w:val="clear" w:color="auto" w:fill="FFFFFF"/>
          </w:tcPr>
          <w:p w14:paraId="15024481" w14:textId="77777777" w:rsidR="00663A44" w:rsidRDefault="00663A44" w:rsidP="00663A44">
            <w:pPr>
              <w:pStyle w:val="CETBodytext"/>
              <w:ind w:right="-1"/>
              <w:rPr>
                <w:rFonts w:cs="Arial"/>
                <w:szCs w:val="18"/>
                <w:lang w:val="en-GB"/>
              </w:rPr>
            </w:pPr>
          </w:p>
        </w:tc>
      </w:tr>
      <w:tr w:rsidR="00691A11" w:rsidRPr="00B57B36" w14:paraId="723AA03E" w14:textId="77777777" w:rsidTr="00691A11">
        <w:tc>
          <w:tcPr>
            <w:tcW w:w="900" w:type="dxa"/>
            <w:shd w:val="clear" w:color="auto" w:fill="FFFFFF"/>
          </w:tcPr>
          <w:p w14:paraId="1D7AEC32" w14:textId="77777777" w:rsidR="00663A44" w:rsidRPr="00B57B36" w:rsidRDefault="00663A44" w:rsidP="00663A44">
            <w:pPr>
              <w:pStyle w:val="CETBodytext"/>
              <w:ind w:right="-1"/>
              <w:rPr>
                <w:rFonts w:cs="Arial"/>
                <w:szCs w:val="18"/>
                <w:lang w:val="en-GB"/>
              </w:rPr>
            </w:pPr>
          </w:p>
        </w:tc>
        <w:tc>
          <w:tcPr>
            <w:tcW w:w="801" w:type="dxa"/>
            <w:shd w:val="clear" w:color="auto" w:fill="FFFFFF"/>
          </w:tcPr>
          <w:p w14:paraId="0FC3F057" w14:textId="77777777" w:rsidR="00663A44" w:rsidRPr="00E67DC8" w:rsidRDefault="00663A44" w:rsidP="00663A44">
            <w:pPr>
              <w:pStyle w:val="CETBodytext"/>
              <w:ind w:right="-1"/>
              <w:rPr>
                <w:rFonts w:cs="Arial"/>
                <w:szCs w:val="18"/>
                <w:lang w:val="en-GB"/>
              </w:rPr>
            </w:pPr>
            <w:r w:rsidRPr="00E67DC8">
              <w:rPr>
                <w:rFonts w:cs="Arial"/>
                <w:szCs w:val="18"/>
                <w:lang w:val="en-GB"/>
              </w:rPr>
              <w:t>n=100</w:t>
            </w:r>
          </w:p>
        </w:tc>
        <w:tc>
          <w:tcPr>
            <w:tcW w:w="709" w:type="dxa"/>
            <w:shd w:val="clear" w:color="auto" w:fill="FFFFFF"/>
          </w:tcPr>
          <w:p w14:paraId="6AE7F998" w14:textId="77777777" w:rsidR="00663A44" w:rsidRPr="00E67DC8" w:rsidRDefault="00663A44" w:rsidP="00663A44">
            <w:pPr>
              <w:pStyle w:val="CETBodytext"/>
              <w:ind w:right="-1"/>
              <w:rPr>
                <w:rFonts w:cs="Arial"/>
                <w:szCs w:val="18"/>
                <w:lang w:val="en-GB"/>
              </w:rPr>
            </w:pPr>
            <w:r w:rsidRPr="00E67DC8">
              <w:rPr>
                <w:rFonts w:cs="Arial"/>
                <w:szCs w:val="18"/>
                <w:lang w:val="en-GB"/>
              </w:rPr>
              <w:t>n=</w:t>
            </w:r>
            <w:r>
              <w:rPr>
                <w:rFonts w:cs="Arial"/>
                <w:szCs w:val="18"/>
                <w:lang w:val="en-GB"/>
              </w:rPr>
              <w:t>33.5</w:t>
            </w:r>
          </w:p>
        </w:tc>
        <w:tc>
          <w:tcPr>
            <w:tcW w:w="650" w:type="dxa"/>
            <w:shd w:val="clear" w:color="auto" w:fill="FFFFFF"/>
          </w:tcPr>
          <w:p w14:paraId="605F1AB4" w14:textId="77777777" w:rsidR="00663A44" w:rsidRDefault="00663A44" w:rsidP="00663A44">
            <w:pPr>
              <w:pStyle w:val="CETBodytext"/>
              <w:ind w:right="-1"/>
              <w:rPr>
                <w:rFonts w:cs="Arial"/>
                <w:szCs w:val="18"/>
                <w:lang w:val="en-GB"/>
              </w:rPr>
            </w:pPr>
            <w:r>
              <w:rPr>
                <w:rFonts w:cs="Arial"/>
                <w:szCs w:val="18"/>
                <w:lang w:val="en-GB"/>
              </w:rPr>
              <w:t>n=85</w:t>
            </w:r>
          </w:p>
        </w:tc>
        <w:tc>
          <w:tcPr>
            <w:tcW w:w="484" w:type="dxa"/>
            <w:shd w:val="clear" w:color="auto" w:fill="FFFFFF"/>
          </w:tcPr>
          <w:p w14:paraId="3B90472E" w14:textId="77777777" w:rsidR="00663A44" w:rsidRPr="00B57B36" w:rsidRDefault="00DB646C" w:rsidP="00663A44">
            <w:pPr>
              <w:pStyle w:val="CETBodytext"/>
              <w:ind w:right="-1"/>
              <w:rPr>
                <w:rFonts w:cs="Arial"/>
                <w:szCs w:val="18"/>
                <w:lang w:val="en-GB"/>
              </w:rPr>
            </w:pPr>
            <w:r>
              <w:rPr>
                <w:rFonts w:cs="Arial"/>
                <w:szCs w:val="18"/>
                <w:lang w:val="en-GB"/>
              </w:rPr>
              <w:t>n=</w:t>
            </w:r>
            <w:r w:rsidR="00663A44">
              <w:rPr>
                <w:rFonts w:cs="Arial"/>
                <w:szCs w:val="18"/>
                <w:lang w:val="en-GB"/>
              </w:rPr>
              <w:t>5</w:t>
            </w:r>
          </w:p>
        </w:tc>
        <w:tc>
          <w:tcPr>
            <w:tcW w:w="956" w:type="dxa"/>
            <w:shd w:val="clear" w:color="auto" w:fill="FFFFFF"/>
          </w:tcPr>
          <w:p w14:paraId="290776BF" w14:textId="77777777" w:rsidR="00663A44" w:rsidRPr="00B57B36" w:rsidRDefault="00663A44" w:rsidP="00663A44">
            <w:pPr>
              <w:pStyle w:val="CETBodytext"/>
              <w:ind w:right="-1"/>
              <w:rPr>
                <w:rFonts w:cs="Arial"/>
                <w:szCs w:val="18"/>
                <w:lang w:val="en-GB"/>
              </w:rPr>
            </w:pPr>
          </w:p>
        </w:tc>
        <w:tc>
          <w:tcPr>
            <w:tcW w:w="900" w:type="dxa"/>
            <w:shd w:val="clear" w:color="auto" w:fill="FFFFFF"/>
          </w:tcPr>
          <w:p w14:paraId="1E63385C" w14:textId="77777777" w:rsidR="00663A44" w:rsidRPr="00456B6E" w:rsidRDefault="00663A44" w:rsidP="00663A44">
            <w:pPr>
              <w:pStyle w:val="CETBodytext"/>
              <w:ind w:right="-1"/>
              <w:rPr>
                <w:rFonts w:cs="Arial"/>
                <w:szCs w:val="18"/>
                <w:lang w:val="en-GB"/>
              </w:rPr>
            </w:pPr>
            <w:r w:rsidRPr="00456B6E">
              <w:rPr>
                <w:rFonts w:cs="Arial"/>
                <w:szCs w:val="18"/>
                <w:lang w:val="en-GB"/>
              </w:rPr>
              <w:t>n=</w:t>
            </w:r>
            <w:r>
              <w:rPr>
                <w:rFonts w:cs="Arial"/>
                <w:szCs w:val="18"/>
                <w:lang w:val="en-GB"/>
              </w:rPr>
              <w:t>94.01</w:t>
            </w:r>
          </w:p>
        </w:tc>
        <w:tc>
          <w:tcPr>
            <w:tcW w:w="900" w:type="dxa"/>
            <w:shd w:val="clear" w:color="auto" w:fill="FFFFFF"/>
          </w:tcPr>
          <w:p w14:paraId="5F75D306" w14:textId="14B84A4D" w:rsidR="00663A44" w:rsidRPr="00E67DC8" w:rsidRDefault="00663A44" w:rsidP="00663A44">
            <w:pPr>
              <w:pStyle w:val="CETBodytext"/>
              <w:ind w:right="-1"/>
              <w:rPr>
                <w:rFonts w:cs="Arial"/>
                <w:szCs w:val="18"/>
                <w:lang w:val="en-GB"/>
              </w:rPr>
            </w:pPr>
            <w:r w:rsidRPr="00E67DC8">
              <w:rPr>
                <w:rFonts w:cs="Arial"/>
                <w:szCs w:val="18"/>
                <w:lang w:val="en-GB"/>
              </w:rPr>
              <w:t>n=</w:t>
            </w:r>
            <w:r>
              <w:rPr>
                <w:rFonts w:cs="Arial"/>
                <w:szCs w:val="18"/>
                <w:lang w:val="en-GB"/>
              </w:rPr>
              <w:t>87.9</w:t>
            </w:r>
            <w:r w:rsidR="00D51090">
              <w:rPr>
                <w:rFonts w:cs="Arial"/>
                <w:szCs w:val="18"/>
                <w:lang w:val="en-GB"/>
              </w:rPr>
              <w:t>9</w:t>
            </w:r>
          </w:p>
        </w:tc>
        <w:tc>
          <w:tcPr>
            <w:tcW w:w="900" w:type="dxa"/>
            <w:shd w:val="clear" w:color="auto" w:fill="FFFFFF"/>
          </w:tcPr>
          <w:p w14:paraId="462D7076" w14:textId="77777777" w:rsidR="00663A44" w:rsidRDefault="00663A44" w:rsidP="00663A44">
            <w:pPr>
              <w:pStyle w:val="CETBodytext"/>
              <w:ind w:right="-1"/>
              <w:rPr>
                <w:rFonts w:cs="Arial"/>
                <w:szCs w:val="18"/>
                <w:lang w:val="en-GB"/>
              </w:rPr>
            </w:pPr>
            <w:r>
              <w:rPr>
                <w:rFonts w:cs="Arial"/>
                <w:szCs w:val="18"/>
                <w:lang w:val="en-GB"/>
              </w:rPr>
              <w:t>n=10</w:t>
            </w:r>
          </w:p>
        </w:tc>
        <w:tc>
          <w:tcPr>
            <w:tcW w:w="720" w:type="dxa"/>
            <w:shd w:val="clear" w:color="auto" w:fill="FFFFFF"/>
          </w:tcPr>
          <w:p w14:paraId="58402C31" w14:textId="77777777" w:rsidR="00663A44" w:rsidRDefault="00663A44" w:rsidP="00663A44">
            <w:pPr>
              <w:pStyle w:val="CETBodytext"/>
              <w:ind w:right="-1"/>
              <w:rPr>
                <w:rFonts w:cs="Arial"/>
                <w:szCs w:val="18"/>
                <w:lang w:val="en-GB"/>
              </w:rPr>
            </w:pPr>
            <w:r>
              <w:rPr>
                <w:rFonts w:cs="Arial"/>
                <w:szCs w:val="18"/>
                <w:lang w:val="en-GB"/>
              </w:rPr>
              <w:t>n=200</w:t>
            </w:r>
          </w:p>
        </w:tc>
        <w:tc>
          <w:tcPr>
            <w:tcW w:w="720" w:type="dxa"/>
            <w:shd w:val="clear" w:color="auto" w:fill="FFFFFF"/>
          </w:tcPr>
          <w:p w14:paraId="30EC3F06" w14:textId="77777777" w:rsidR="00663A44" w:rsidRDefault="00663A44" w:rsidP="00663A44">
            <w:pPr>
              <w:pStyle w:val="CETBodytext"/>
              <w:ind w:right="-1"/>
              <w:rPr>
                <w:rFonts w:cs="Arial"/>
                <w:szCs w:val="18"/>
                <w:lang w:val="en-GB"/>
              </w:rPr>
            </w:pPr>
          </w:p>
        </w:tc>
      </w:tr>
      <w:tr w:rsidR="00691A11" w:rsidRPr="00B57B36" w14:paraId="38FF2AFE" w14:textId="77777777" w:rsidTr="00691A11">
        <w:tc>
          <w:tcPr>
            <w:tcW w:w="900" w:type="dxa"/>
            <w:shd w:val="clear" w:color="auto" w:fill="FFFFFF"/>
          </w:tcPr>
          <w:p w14:paraId="4E226D46" w14:textId="77777777" w:rsidR="00663A44" w:rsidRPr="00B57B36" w:rsidRDefault="00663A44" w:rsidP="00663A44">
            <w:pPr>
              <w:pStyle w:val="CETBodytext"/>
              <w:ind w:right="-1"/>
              <w:rPr>
                <w:rFonts w:cs="Arial"/>
                <w:szCs w:val="18"/>
                <w:lang w:val="en-GB"/>
              </w:rPr>
            </w:pPr>
          </w:p>
        </w:tc>
        <w:tc>
          <w:tcPr>
            <w:tcW w:w="801" w:type="dxa"/>
            <w:shd w:val="clear" w:color="auto" w:fill="FFFFFF"/>
          </w:tcPr>
          <w:p w14:paraId="19C6EEEC" w14:textId="77777777" w:rsidR="00663A44" w:rsidRPr="00E67DC8" w:rsidRDefault="00663A44" w:rsidP="00663A44">
            <w:pPr>
              <w:pStyle w:val="CETBodytext"/>
              <w:ind w:right="-1"/>
              <w:rPr>
                <w:rFonts w:cs="Arial"/>
                <w:szCs w:val="18"/>
                <w:lang w:val="en-GB"/>
              </w:rPr>
            </w:pPr>
          </w:p>
        </w:tc>
        <w:tc>
          <w:tcPr>
            <w:tcW w:w="709" w:type="dxa"/>
            <w:shd w:val="clear" w:color="auto" w:fill="FFFFFF"/>
          </w:tcPr>
          <w:p w14:paraId="7FC89B10" w14:textId="77777777" w:rsidR="00663A44" w:rsidRPr="00E67DC8" w:rsidRDefault="00663A44" w:rsidP="00663A44">
            <w:pPr>
              <w:pStyle w:val="CETBodytext"/>
              <w:ind w:right="-1"/>
              <w:rPr>
                <w:rFonts w:cs="Arial"/>
                <w:szCs w:val="18"/>
                <w:lang w:val="en-GB"/>
              </w:rPr>
            </w:pPr>
          </w:p>
        </w:tc>
        <w:tc>
          <w:tcPr>
            <w:tcW w:w="650" w:type="dxa"/>
            <w:shd w:val="clear" w:color="auto" w:fill="FFFFFF"/>
          </w:tcPr>
          <w:p w14:paraId="4DF1B204" w14:textId="77777777" w:rsidR="00663A44" w:rsidRDefault="00663A44" w:rsidP="00663A44">
            <w:pPr>
              <w:pStyle w:val="CETBodytext"/>
              <w:ind w:right="-1"/>
              <w:rPr>
                <w:rFonts w:cs="Arial"/>
                <w:szCs w:val="18"/>
                <w:lang w:val="en-GB"/>
              </w:rPr>
            </w:pPr>
          </w:p>
        </w:tc>
        <w:tc>
          <w:tcPr>
            <w:tcW w:w="484" w:type="dxa"/>
            <w:shd w:val="clear" w:color="auto" w:fill="FFFFFF"/>
          </w:tcPr>
          <w:p w14:paraId="4C47315F" w14:textId="77777777" w:rsidR="00663A44" w:rsidRPr="00B57B36" w:rsidRDefault="00663A44" w:rsidP="00663A44">
            <w:pPr>
              <w:pStyle w:val="CETBodytext"/>
              <w:ind w:right="-1"/>
              <w:rPr>
                <w:rFonts w:cs="Arial"/>
                <w:szCs w:val="18"/>
                <w:lang w:val="en-GB"/>
              </w:rPr>
            </w:pPr>
          </w:p>
        </w:tc>
        <w:tc>
          <w:tcPr>
            <w:tcW w:w="956" w:type="dxa"/>
            <w:shd w:val="clear" w:color="auto" w:fill="FFFFFF"/>
          </w:tcPr>
          <w:p w14:paraId="623DF542" w14:textId="77777777" w:rsidR="00663A44" w:rsidRPr="00B57B36" w:rsidRDefault="00663A44" w:rsidP="00663A44">
            <w:pPr>
              <w:pStyle w:val="CETBodytext"/>
              <w:ind w:right="-1"/>
              <w:rPr>
                <w:rFonts w:cs="Arial"/>
                <w:szCs w:val="18"/>
                <w:lang w:val="en-GB"/>
              </w:rPr>
            </w:pPr>
          </w:p>
        </w:tc>
        <w:tc>
          <w:tcPr>
            <w:tcW w:w="900" w:type="dxa"/>
            <w:shd w:val="clear" w:color="auto" w:fill="FFFFFF"/>
          </w:tcPr>
          <w:p w14:paraId="7DF6C674" w14:textId="77777777" w:rsidR="00663A44" w:rsidRPr="00456B6E" w:rsidRDefault="00663A44" w:rsidP="00663A44">
            <w:pPr>
              <w:pStyle w:val="CETBodytext"/>
              <w:ind w:right="-1"/>
              <w:rPr>
                <w:rFonts w:cs="Arial"/>
                <w:szCs w:val="18"/>
                <w:lang w:val="en-GB"/>
              </w:rPr>
            </w:pPr>
          </w:p>
        </w:tc>
        <w:tc>
          <w:tcPr>
            <w:tcW w:w="900" w:type="dxa"/>
            <w:shd w:val="clear" w:color="auto" w:fill="FFFFFF"/>
          </w:tcPr>
          <w:p w14:paraId="7F285C67" w14:textId="77777777" w:rsidR="00663A44" w:rsidRPr="00E67DC8" w:rsidRDefault="00663A44" w:rsidP="00663A44">
            <w:pPr>
              <w:pStyle w:val="CETBodytext"/>
              <w:ind w:right="-1"/>
              <w:rPr>
                <w:rFonts w:cs="Arial"/>
                <w:szCs w:val="18"/>
                <w:lang w:val="en-GB"/>
              </w:rPr>
            </w:pPr>
          </w:p>
        </w:tc>
        <w:tc>
          <w:tcPr>
            <w:tcW w:w="900" w:type="dxa"/>
            <w:shd w:val="clear" w:color="auto" w:fill="FFFFFF"/>
          </w:tcPr>
          <w:p w14:paraId="4A6DDCD2" w14:textId="77777777" w:rsidR="00663A44" w:rsidRDefault="00663A44" w:rsidP="00663A44">
            <w:pPr>
              <w:pStyle w:val="CETBodytext"/>
              <w:ind w:right="-1"/>
              <w:rPr>
                <w:rFonts w:cs="Arial"/>
                <w:szCs w:val="18"/>
                <w:lang w:val="en-GB"/>
              </w:rPr>
            </w:pPr>
          </w:p>
        </w:tc>
        <w:tc>
          <w:tcPr>
            <w:tcW w:w="720" w:type="dxa"/>
            <w:shd w:val="clear" w:color="auto" w:fill="FFFFFF"/>
          </w:tcPr>
          <w:p w14:paraId="73BD3270" w14:textId="77777777" w:rsidR="00663A44" w:rsidRDefault="00663A44" w:rsidP="00663A44">
            <w:pPr>
              <w:pStyle w:val="CETBodytext"/>
              <w:ind w:right="-1"/>
              <w:rPr>
                <w:rFonts w:cs="Arial"/>
                <w:szCs w:val="18"/>
                <w:lang w:val="en-GB"/>
              </w:rPr>
            </w:pPr>
          </w:p>
        </w:tc>
        <w:tc>
          <w:tcPr>
            <w:tcW w:w="720" w:type="dxa"/>
            <w:shd w:val="clear" w:color="auto" w:fill="FFFFFF"/>
          </w:tcPr>
          <w:p w14:paraId="3C44DDD6" w14:textId="77777777" w:rsidR="00663A44" w:rsidRDefault="00663A44" w:rsidP="00663A44">
            <w:pPr>
              <w:pStyle w:val="CETBodytext"/>
              <w:ind w:right="-1"/>
              <w:rPr>
                <w:rFonts w:cs="Arial"/>
                <w:szCs w:val="18"/>
                <w:lang w:val="en-GB"/>
              </w:rPr>
            </w:pPr>
          </w:p>
        </w:tc>
      </w:tr>
      <w:tr w:rsidR="00691A11" w:rsidRPr="00B57B36" w14:paraId="7D761268" w14:textId="77777777" w:rsidTr="00691A11">
        <w:tc>
          <w:tcPr>
            <w:tcW w:w="900" w:type="dxa"/>
            <w:shd w:val="clear" w:color="auto" w:fill="FFFFFF"/>
          </w:tcPr>
          <w:p w14:paraId="30211A5B" w14:textId="77777777" w:rsidR="00C34692" w:rsidRPr="00B57B36" w:rsidRDefault="00C34692" w:rsidP="00C34692">
            <w:pPr>
              <w:pStyle w:val="CETBodytext"/>
              <w:ind w:right="-1"/>
              <w:rPr>
                <w:rFonts w:cs="Arial"/>
                <w:szCs w:val="18"/>
                <w:lang w:val="en-GB"/>
              </w:rPr>
            </w:pPr>
            <w:r>
              <w:rPr>
                <w:rFonts w:cs="Arial"/>
                <w:szCs w:val="18"/>
                <w:lang w:val="en-GB"/>
              </w:rPr>
              <w:t>8</w:t>
            </w:r>
          </w:p>
        </w:tc>
        <w:tc>
          <w:tcPr>
            <w:tcW w:w="801" w:type="dxa"/>
            <w:shd w:val="clear" w:color="auto" w:fill="FFFFFF"/>
          </w:tcPr>
          <w:p w14:paraId="00FCE4DD" w14:textId="77777777" w:rsidR="00C34692" w:rsidRPr="00E67DC8" w:rsidRDefault="00C34692" w:rsidP="00C34692">
            <w:pPr>
              <w:pStyle w:val="CETBodytext"/>
              <w:ind w:right="-1"/>
              <w:rPr>
                <w:rFonts w:cs="Arial"/>
                <w:szCs w:val="18"/>
                <w:lang w:val="en-GB"/>
              </w:rPr>
            </w:pPr>
            <w:r w:rsidRPr="00E67DC8">
              <w:rPr>
                <w:lang w:val="en-GB"/>
              </w:rPr>
              <w:t>C</w:t>
            </w:r>
            <w:r w:rsidRPr="00E67DC8">
              <w:rPr>
                <w:rFonts w:ascii="Cambria Math" w:hAnsi="Cambria Math" w:cs="Cambria Math"/>
                <w:lang w:val="en-GB"/>
              </w:rPr>
              <w:t>₃</w:t>
            </w:r>
            <w:r w:rsidRPr="00E67DC8">
              <w:rPr>
                <w:lang w:val="en-GB"/>
              </w:rPr>
              <w:t>H</w:t>
            </w:r>
            <w:r w:rsidRPr="00E67DC8">
              <w:rPr>
                <w:rFonts w:ascii="Cambria Math" w:hAnsi="Cambria Math" w:cs="Cambria Math"/>
                <w:lang w:val="en-GB"/>
              </w:rPr>
              <w:t>₈</w:t>
            </w:r>
            <w:r w:rsidRPr="00E67DC8">
              <w:rPr>
                <w:lang w:val="en-GB"/>
              </w:rPr>
              <w:t>O</w:t>
            </w:r>
            <w:r w:rsidRPr="00E67DC8">
              <w:rPr>
                <w:rFonts w:ascii="Cambria Math" w:hAnsi="Cambria Math" w:cs="Cambria Math"/>
                <w:lang w:val="en-GB"/>
              </w:rPr>
              <w:t>₃</w:t>
            </w:r>
          </w:p>
        </w:tc>
        <w:tc>
          <w:tcPr>
            <w:tcW w:w="709" w:type="dxa"/>
            <w:shd w:val="clear" w:color="auto" w:fill="FFFFFF"/>
          </w:tcPr>
          <w:p w14:paraId="00E4908F" w14:textId="77777777" w:rsidR="00C34692" w:rsidRPr="00E67DC8" w:rsidRDefault="00C34692" w:rsidP="00C34692">
            <w:pPr>
              <w:pStyle w:val="CETBodytext"/>
              <w:ind w:right="-1"/>
              <w:rPr>
                <w:rFonts w:cs="Arial"/>
                <w:szCs w:val="18"/>
                <w:lang w:val="en-GB"/>
              </w:rPr>
            </w:pPr>
            <w:r w:rsidRPr="00E67DC8">
              <w:rPr>
                <w:rFonts w:cs="Arial"/>
                <w:szCs w:val="18"/>
                <w:lang w:val="en-GB"/>
              </w:rPr>
              <w:t>O</w:t>
            </w:r>
            <w:r w:rsidRPr="00E67DC8">
              <w:rPr>
                <w:rFonts w:cs="Arial"/>
                <w:szCs w:val="18"/>
                <w:vertAlign w:val="subscript"/>
                <w:lang w:val="en-GB"/>
              </w:rPr>
              <w:t>2</w:t>
            </w:r>
          </w:p>
        </w:tc>
        <w:tc>
          <w:tcPr>
            <w:tcW w:w="650" w:type="dxa"/>
            <w:shd w:val="clear" w:color="auto" w:fill="FFFFFF"/>
          </w:tcPr>
          <w:p w14:paraId="5B8A801C" w14:textId="77777777" w:rsidR="00C34692" w:rsidRDefault="00C34692" w:rsidP="00C34692">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r>
              <w:rPr>
                <w:rFonts w:cs="Arial"/>
                <w:szCs w:val="18"/>
                <w:lang w:val="en-GB"/>
              </w:rPr>
              <w:t>O</w:t>
            </w:r>
          </w:p>
        </w:tc>
        <w:tc>
          <w:tcPr>
            <w:tcW w:w="484" w:type="dxa"/>
            <w:shd w:val="clear" w:color="auto" w:fill="FFFFFF"/>
          </w:tcPr>
          <w:p w14:paraId="6B61A66B" w14:textId="77777777" w:rsidR="00C34692" w:rsidRPr="00B57B36" w:rsidRDefault="00C34692" w:rsidP="00C34692">
            <w:pPr>
              <w:pStyle w:val="CETBodytext"/>
              <w:ind w:right="-1"/>
              <w:rPr>
                <w:rFonts w:cs="Arial"/>
                <w:szCs w:val="18"/>
                <w:lang w:val="en-GB"/>
              </w:rPr>
            </w:pPr>
            <w:r>
              <w:rPr>
                <w:rFonts w:cs="Arial"/>
                <w:szCs w:val="18"/>
                <w:lang w:val="en-GB"/>
              </w:rPr>
              <w:t>N</w:t>
            </w:r>
            <w:r w:rsidRPr="00663A44">
              <w:rPr>
                <w:rFonts w:cs="Arial"/>
                <w:szCs w:val="18"/>
                <w:vertAlign w:val="subscript"/>
                <w:lang w:val="en-GB"/>
              </w:rPr>
              <w:t>2</w:t>
            </w:r>
          </w:p>
        </w:tc>
        <w:tc>
          <w:tcPr>
            <w:tcW w:w="956" w:type="dxa"/>
            <w:shd w:val="clear" w:color="auto" w:fill="FFFFFF"/>
          </w:tcPr>
          <w:p w14:paraId="1C3A4C36" w14:textId="77777777" w:rsidR="00C34692" w:rsidRPr="00B57B36" w:rsidRDefault="00C34692" w:rsidP="00C34692">
            <w:pPr>
              <w:pStyle w:val="CETBodytext"/>
              <w:ind w:right="-1"/>
              <w:rPr>
                <w:rFonts w:cs="Arial"/>
                <w:szCs w:val="18"/>
                <w:lang w:val="en-GB"/>
              </w:rPr>
            </w:pPr>
          </w:p>
        </w:tc>
        <w:tc>
          <w:tcPr>
            <w:tcW w:w="900" w:type="dxa"/>
            <w:shd w:val="clear" w:color="auto" w:fill="FFFFFF"/>
          </w:tcPr>
          <w:p w14:paraId="038A787B" w14:textId="77777777" w:rsidR="00C34692" w:rsidRPr="00456B6E" w:rsidRDefault="00C34692" w:rsidP="00C34692">
            <w:pPr>
              <w:pStyle w:val="CETBodytext"/>
              <w:ind w:right="-1"/>
              <w:rPr>
                <w:rFonts w:cs="Arial"/>
                <w:szCs w:val="18"/>
                <w:lang w:val="en-GB"/>
              </w:rPr>
            </w:pPr>
            <w:r w:rsidRPr="00456B6E">
              <w:rPr>
                <w:rFonts w:cs="Arial"/>
                <w:szCs w:val="18"/>
                <w:lang w:val="en-GB"/>
              </w:rPr>
              <w:t>CH</w:t>
            </w:r>
            <w:r w:rsidRPr="00456B6E">
              <w:rPr>
                <w:rFonts w:cs="Arial"/>
                <w:szCs w:val="18"/>
                <w:vertAlign w:val="subscript"/>
                <w:lang w:val="en-GB"/>
              </w:rPr>
              <w:t>2</w:t>
            </w:r>
            <w:r w:rsidRPr="00456B6E">
              <w:rPr>
                <w:rFonts w:cs="Arial"/>
                <w:szCs w:val="18"/>
                <w:lang w:val="en-GB"/>
              </w:rPr>
              <w:t>O</w:t>
            </w:r>
            <w:r>
              <w:rPr>
                <w:rFonts w:cs="Arial"/>
                <w:szCs w:val="18"/>
                <w:vertAlign w:val="subscript"/>
                <w:lang w:val="en-GB"/>
              </w:rPr>
              <w:t>2</w:t>
            </w:r>
          </w:p>
        </w:tc>
        <w:tc>
          <w:tcPr>
            <w:tcW w:w="900" w:type="dxa"/>
            <w:shd w:val="clear" w:color="auto" w:fill="FFFFFF"/>
          </w:tcPr>
          <w:p w14:paraId="723CB762" w14:textId="77777777" w:rsidR="00C34692" w:rsidRPr="00E67DC8" w:rsidRDefault="00C34692" w:rsidP="00C34692">
            <w:pPr>
              <w:pStyle w:val="CETBodytext"/>
              <w:ind w:right="-1"/>
              <w:rPr>
                <w:rFonts w:cs="Arial"/>
                <w:szCs w:val="18"/>
                <w:lang w:val="en-GB"/>
              </w:rPr>
            </w:pPr>
            <w:r w:rsidRPr="00E67DC8">
              <w:rPr>
                <w:rFonts w:cs="Arial"/>
                <w:szCs w:val="18"/>
                <w:lang w:val="en-GB"/>
              </w:rPr>
              <w:t>C</w:t>
            </w:r>
            <w:r w:rsidRPr="00E67DC8">
              <w:rPr>
                <w:rFonts w:cs="Arial"/>
                <w:szCs w:val="18"/>
                <w:vertAlign w:val="subscript"/>
                <w:lang w:val="en-GB"/>
              </w:rPr>
              <w:t>2</w:t>
            </w:r>
            <w:r w:rsidRPr="00E67DC8">
              <w:rPr>
                <w:rFonts w:cs="Arial"/>
                <w:szCs w:val="18"/>
                <w:lang w:val="en-GB"/>
              </w:rPr>
              <w:t>H</w:t>
            </w:r>
            <w:r w:rsidRPr="00E67DC8">
              <w:rPr>
                <w:rFonts w:cs="Arial"/>
                <w:szCs w:val="18"/>
                <w:vertAlign w:val="subscript"/>
                <w:lang w:val="en-GB"/>
              </w:rPr>
              <w:t>4</w:t>
            </w:r>
            <w:r w:rsidRPr="00E67DC8">
              <w:rPr>
                <w:rFonts w:cs="Arial"/>
                <w:szCs w:val="18"/>
                <w:lang w:val="en-GB"/>
              </w:rPr>
              <w:t>O</w:t>
            </w:r>
            <w:r w:rsidRPr="00E67DC8">
              <w:rPr>
                <w:rFonts w:cs="Arial"/>
                <w:szCs w:val="18"/>
                <w:vertAlign w:val="subscript"/>
                <w:lang w:val="en-GB"/>
              </w:rPr>
              <w:t>3</w:t>
            </w:r>
          </w:p>
        </w:tc>
        <w:tc>
          <w:tcPr>
            <w:tcW w:w="900" w:type="dxa"/>
            <w:shd w:val="clear" w:color="auto" w:fill="FFFFFF"/>
          </w:tcPr>
          <w:p w14:paraId="1E542D5B" w14:textId="77777777" w:rsidR="00C34692" w:rsidRDefault="00C34692" w:rsidP="00C34692">
            <w:pPr>
              <w:pStyle w:val="CETBodytext"/>
              <w:ind w:right="-1"/>
              <w:rPr>
                <w:rFonts w:cs="Arial"/>
                <w:szCs w:val="18"/>
                <w:lang w:val="en-GB"/>
              </w:rPr>
            </w:pPr>
            <w:r w:rsidRPr="00EE62BA">
              <w:rPr>
                <w:rFonts w:cs="Arial"/>
                <w:szCs w:val="18"/>
                <w:lang w:val="en-GB"/>
              </w:rPr>
              <w:t>C</w:t>
            </w:r>
            <w:r w:rsidRPr="00EE62BA">
              <w:rPr>
                <w:rFonts w:cs="Arial"/>
                <w:szCs w:val="18"/>
                <w:vertAlign w:val="subscript"/>
                <w:lang w:val="en-GB"/>
              </w:rPr>
              <w:t>3</w:t>
            </w:r>
            <w:r w:rsidRPr="00EE62BA">
              <w:rPr>
                <w:rFonts w:cs="Arial"/>
                <w:szCs w:val="18"/>
                <w:lang w:val="en-GB"/>
              </w:rPr>
              <w:t>H</w:t>
            </w:r>
            <w:r>
              <w:rPr>
                <w:rFonts w:cs="Arial"/>
                <w:szCs w:val="18"/>
                <w:vertAlign w:val="subscript"/>
                <w:lang w:val="en-GB"/>
              </w:rPr>
              <w:t>3</w:t>
            </w:r>
            <w:r>
              <w:rPr>
                <w:rFonts w:cs="Arial"/>
                <w:szCs w:val="18"/>
                <w:lang w:val="en-GB"/>
              </w:rPr>
              <w:t>N</w:t>
            </w:r>
          </w:p>
        </w:tc>
        <w:tc>
          <w:tcPr>
            <w:tcW w:w="720" w:type="dxa"/>
            <w:shd w:val="clear" w:color="auto" w:fill="FFFFFF"/>
          </w:tcPr>
          <w:p w14:paraId="1E5CAE30" w14:textId="77777777" w:rsidR="00C34692" w:rsidRDefault="00C34692" w:rsidP="00C34692">
            <w:pPr>
              <w:pStyle w:val="CETBodytext"/>
              <w:ind w:right="-1"/>
              <w:rPr>
                <w:rFonts w:cs="Arial"/>
                <w:szCs w:val="18"/>
                <w:lang w:val="en-GB"/>
              </w:rPr>
            </w:pPr>
            <w:r>
              <w:rPr>
                <w:rFonts w:cs="Arial"/>
                <w:szCs w:val="18"/>
                <w:lang w:val="en-GB"/>
              </w:rPr>
              <w:t>H</w:t>
            </w:r>
            <w:r w:rsidRPr="00456B6E">
              <w:rPr>
                <w:rFonts w:cs="Arial"/>
                <w:szCs w:val="18"/>
                <w:vertAlign w:val="subscript"/>
                <w:lang w:val="en-GB"/>
              </w:rPr>
              <w:t>2</w:t>
            </w:r>
          </w:p>
        </w:tc>
        <w:tc>
          <w:tcPr>
            <w:tcW w:w="720" w:type="dxa"/>
            <w:shd w:val="clear" w:color="auto" w:fill="FFFFFF"/>
          </w:tcPr>
          <w:p w14:paraId="64932EC4" w14:textId="77777777" w:rsidR="00C34692" w:rsidRDefault="00C34692" w:rsidP="00C34692">
            <w:pPr>
              <w:pStyle w:val="CETBodytext"/>
              <w:ind w:right="-1"/>
              <w:rPr>
                <w:rFonts w:cs="Arial"/>
                <w:szCs w:val="18"/>
                <w:lang w:val="en-GB"/>
              </w:rPr>
            </w:pPr>
          </w:p>
        </w:tc>
      </w:tr>
      <w:tr w:rsidR="00691A11" w:rsidRPr="00B57B36" w14:paraId="5C73060D" w14:textId="77777777" w:rsidTr="00691A11">
        <w:tc>
          <w:tcPr>
            <w:tcW w:w="900" w:type="dxa"/>
            <w:shd w:val="clear" w:color="auto" w:fill="FFFFFF"/>
          </w:tcPr>
          <w:p w14:paraId="35AD0DA1" w14:textId="77777777" w:rsidR="00C34692" w:rsidRPr="00B57B36" w:rsidRDefault="00C34692" w:rsidP="00C34692">
            <w:pPr>
              <w:pStyle w:val="CETBodytext"/>
              <w:ind w:right="-1"/>
              <w:rPr>
                <w:rFonts w:cs="Arial"/>
                <w:szCs w:val="18"/>
                <w:lang w:val="en-GB"/>
              </w:rPr>
            </w:pPr>
          </w:p>
        </w:tc>
        <w:tc>
          <w:tcPr>
            <w:tcW w:w="801" w:type="dxa"/>
            <w:shd w:val="clear" w:color="auto" w:fill="FFFFFF"/>
          </w:tcPr>
          <w:p w14:paraId="4AF0980E" w14:textId="77777777" w:rsidR="00C34692" w:rsidRPr="00E67DC8" w:rsidRDefault="00C34692" w:rsidP="00C34692">
            <w:pPr>
              <w:pStyle w:val="CETBodytext"/>
              <w:ind w:right="-1"/>
              <w:rPr>
                <w:rFonts w:cs="Arial"/>
                <w:szCs w:val="18"/>
                <w:lang w:val="en-GB"/>
              </w:rPr>
            </w:pPr>
            <w:r w:rsidRPr="00E67DC8">
              <w:rPr>
                <w:rFonts w:cs="Arial"/>
                <w:szCs w:val="18"/>
                <w:lang w:val="en-GB"/>
              </w:rPr>
              <w:t>n=100</w:t>
            </w:r>
          </w:p>
        </w:tc>
        <w:tc>
          <w:tcPr>
            <w:tcW w:w="709" w:type="dxa"/>
            <w:shd w:val="clear" w:color="auto" w:fill="FFFFFF"/>
          </w:tcPr>
          <w:p w14:paraId="0B061E44" w14:textId="77777777" w:rsidR="00C34692" w:rsidRPr="00E67DC8" w:rsidRDefault="00C34692" w:rsidP="00C34692">
            <w:pPr>
              <w:pStyle w:val="CETBodytext"/>
              <w:ind w:right="-1"/>
              <w:rPr>
                <w:rFonts w:cs="Arial"/>
                <w:szCs w:val="18"/>
                <w:lang w:val="en-GB"/>
              </w:rPr>
            </w:pPr>
            <w:r w:rsidRPr="00E67DC8">
              <w:rPr>
                <w:rFonts w:cs="Arial"/>
                <w:szCs w:val="18"/>
                <w:lang w:val="en-GB"/>
              </w:rPr>
              <w:t>n=</w:t>
            </w:r>
            <w:r>
              <w:rPr>
                <w:rFonts w:cs="Arial"/>
                <w:szCs w:val="18"/>
                <w:lang w:val="en-GB"/>
              </w:rPr>
              <w:t>31.5</w:t>
            </w:r>
          </w:p>
        </w:tc>
        <w:tc>
          <w:tcPr>
            <w:tcW w:w="650" w:type="dxa"/>
            <w:shd w:val="clear" w:color="auto" w:fill="FFFFFF"/>
          </w:tcPr>
          <w:p w14:paraId="04C3CDA1" w14:textId="77777777" w:rsidR="00C34692" w:rsidRDefault="00C34692" w:rsidP="00C34692">
            <w:pPr>
              <w:pStyle w:val="CETBodytext"/>
              <w:ind w:right="-1"/>
              <w:rPr>
                <w:rFonts w:cs="Arial"/>
                <w:szCs w:val="18"/>
                <w:lang w:val="en-GB"/>
              </w:rPr>
            </w:pPr>
            <w:r>
              <w:rPr>
                <w:rFonts w:cs="Arial"/>
                <w:szCs w:val="18"/>
                <w:lang w:val="en-GB"/>
              </w:rPr>
              <w:t>n=70</w:t>
            </w:r>
          </w:p>
        </w:tc>
        <w:tc>
          <w:tcPr>
            <w:tcW w:w="484" w:type="dxa"/>
            <w:shd w:val="clear" w:color="auto" w:fill="FFFFFF"/>
          </w:tcPr>
          <w:p w14:paraId="66B4526F" w14:textId="77777777" w:rsidR="00C34692" w:rsidRPr="00B57B36" w:rsidRDefault="00DB646C" w:rsidP="00C34692">
            <w:pPr>
              <w:pStyle w:val="CETBodytext"/>
              <w:ind w:right="-1"/>
              <w:rPr>
                <w:rFonts w:cs="Arial"/>
                <w:szCs w:val="18"/>
                <w:lang w:val="en-GB"/>
              </w:rPr>
            </w:pPr>
            <w:r>
              <w:rPr>
                <w:rFonts w:cs="Arial"/>
                <w:szCs w:val="18"/>
                <w:lang w:val="en-GB"/>
              </w:rPr>
              <w:t>n=</w:t>
            </w:r>
            <w:r w:rsidR="00C34692">
              <w:rPr>
                <w:rFonts w:cs="Arial"/>
                <w:szCs w:val="18"/>
                <w:lang w:val="en-GB"/>
              </w:rPr>
              <w:t>10</w:t>
            </w:r>
          </w:p>
        </w:tc>
        <w:tc>
          <w:tcPr>
            <w:tcW w:w="956" w:type="dxa"/>
            <w:shd w:val="clear" w:color="auto" w:fill="FFFFFF"/>
          </w:tcPr>
          <w:p w14:paraId="2ECB47F7" w14:textId="77777777" w:rsidR="00C34692" w:rsidRPr="00B57B36" w:rsidRDefault="00C34692" w:rsidP="00C34692">
            <w:pPr>
              <w:pStyle w:val="CETBodytext"/>
              <w:ind w:right="-1"/>
              <w:rPr>
                <w:rFonts w:cs="Arial"/>
                <w:szCs w:val="18"/>
                <w:lang w:val="en-GB"/>
              </w:rPr>
            </w:pPr>
          </w:p>
        </w:tc>
        <w:tc>
          <w:tcPr>
            <w:tcW w:w="900" w:type="dxa"/>
            <w:shd w:val="clear" w:color="auto" w:fill="FFFFFF"/>
          </w:tcPr>
          <w:p w14:paraId="479487D3" w14:textId="77777777" w:rsidR="00C34692" w:rsidRPr="00456B6E" w:rsidRDefault="00C34692" w:rsidP="00C34692">
            <w:pPr>
              <w:pStyle w:val="CETBodytext"/>
              <w:ind w:right="-1"/>
              <w:rPr>
                <w:rFonts w:cs="Arial"/>
                <w:szCs w:val="18"/>
                <w:lang w:val="en-GB"/>
              </w:rPr>
            </w:pPr>
            <w:r w:rsidRPr="00456B6E">
              <w:rPr>
                <w:rFonts w:cs="Arial"/>
                <w:szCs w:val="18"/>
                <w:lang w:val="en-GB"/>
              </w:rPr>
              <w:t>n=</w:t>
            </w:r>
            <w:r>
              <w:rPr>
                <w:rFonts w:cs="Arial"/>
                <w:szCs w:val="18"/>
                <w:lang w:val="en-GB"/>
              </w:rPr>
              <w:t>146.20</w:t>
            </w:r>
          </w:p>
        </w:tc>
        <w:tc>
          <w:tcPr>
            <w:tcW w:w="900" w:type="dxa"/>
            <w:shd w:val="clear" w:color="auto" w:fill="FFFFFF"/>
          </w:tcPr>
          <w:p w14:paraId="282B933A" w14:textId="77777777" w:rsidR="00C34692" w:rsidRPr="00E67DC8" w:rsidRDefault="00C34692" w:rsidP="00C34692">
            <w:pPr>
              <w:pStyle w:val="CETBodytext"/>
              <w:ind w:right="-1"/>
              <w:rPr>
                <w:rFonts w:cs="Arial"/>
                <w:szCs w:val="18"/>
                <w:lang w:val="en-GB"/>
              </w:rPr>
            </w:pPr>
            <w:r w:rsidRPr="00E67DC8">
              <w:rPr>
                <w:rFonts w:cs="Arial"/>
                <w:szCs w:val="18"/>
                <w:lang w:val="en-GB"/>
              </w:rPr>
              <w:t>n=</w:t>
            </w:r>
            <w:r>
              <w:rPr>
                <w:rFonts w:cs="Arial"/>
                <w:szCs w:val="18"/>
                <w:lang w:val="en-GB"/>
              </w:rPr>
              <w:t>46.89</w:t>
            </w:r>
          </w:p>
        </w:tc>
        <w:tc>
          <w:tcPr>
            <w:tcW w:w="900" w:type="dxa"/>
            <w:shd w:val="clear" w:color="auto" w:fill="FFFFFF"/>
          </w:tcPr>
          <w:p w14:paraId="2ABBEF4A" w14:textId="77777777" w:rsidR="00C34692" w:rsidRDefault="00C34692" w:rsidP="00C34692">
            <w:pPr>
              <w:pStyle w:val="CETBodytext"/>
              <w:ind w:right="-1"/>
              <w:rPr>
                <w:rFonts w:cs="Arial"/>
                <w:szCs w:val="18"/>
                <w:lang w:val="en-GB"/>
              </w:rPr>
            </w:pPr>
            <w:r>
              <w:rPr>
                <w:rFonts w:cs="Arial"/>
                <w:szCs w:val="18"/>
                <w:lang w:val="en-GB"/>
              </w:rPr>
              <w:t>n=20</w:t>
            </w:r>
          </w:p>
        </w:tc>
        <w:tc>
          <w:tcPr>
            <w:tcW w:w="720" w:type="dxa"/>
            <w:shd w:val="clear" w:color="auto" w:fill="FFFFFF"/>
          </w:tcPr>
          <w:p w14:paraId="06D7ADD9" w14:textId="77777777" w:rsidR="00C34692" w:rsidRDefault="00C34692" w:rsidP="00C34692">
            <w:pPr>
              <w:pStyle w:val="CETBodytext"/>
              <w:ind w:right="-1"/>
              <w:rPr>
                <w:rFonts w:cs="Arial"/>
                <w:szCs w:val="18"/>
                <w:lang w:val="en-GB"/>
              </w:rPr>
            </w:pPr>
            <w:r>
              <w:rPr>
                <w:rFonts w:cs="Arial"/>
                <w:szCs w:val="18"/>
                <w:lang w:val="en-GB"/>
              </w:rPr>
              <w:t>n=200</w:t>
            </w:r>
          </w:p>
        </w:tc>
        <w:tc>
          <w:tcPr>
            <w:tcW w:w="720" w:type="dxa"/>
            <w:shd w:val="clear" w:color="auto" w:fill="FFFFFF"/>
          </w:tcPr>
          <w:p w14:paraId="1B3507A5" w14:textId="77777777" w:rsidR="00C34692" w:rsidRDefault="00C34692" w:rsidP="00C34692">
            <w:pPr>
              <w:pStyle w:val="CETBodytext"/>
              <w:ind w:right="-1"/>
              <w:rPr>
                <w:rFonts w:cs="Arial"/>
                <w:szCs w:val="18"/>
                <w:lang w:val="en-GB"/>
              </w:rPr>
            </w:pPr>
          </w:p>
        </w:tc>
      </w:tr>
    </w:tbl>
    <w:p w14:paraId="43BC1B01" w14:textId="77777777" w:rsidR="001C3E00" w:rsidRDefault="001C3E00" w:rsidP="001C3E00">
      <w:pPr>
        <w:pStyle w:val="CETBodytext"/>
        <w:rPr>
          <w:lang w:val="en-GB"/>
        </w:rPr>
      </w:pPr>
      <w:r w:rsidRPr="006E0912">
        <w:rPr>
          <w:lang w:val="en-GB"/>
        </w:rPr>
        <w:t>n= number of moles (kgmol)</w:t>
      </w:r>
    </w:p>
    <w:p w14:paraId="2264DFFD" w14:textId="77777777" w:rsidR="00472136" w:rsidRDefault="00472136" w:rsidP="006E0912">
      <w:pPr>
        <w:pStyle w:val="CETBodytext"/>
        <w:rPr>
          <w:lang w:val="en-GB"/>
        </w:rPr>
      </w:pPr>
    </w:p>
    <w:p w14:paraId="12F1B299" w14:textId="77777777" w:rsidR="006E0912" w:rsidRDefault="006E0912" w:rsidP="006E0912">
      <w:pPr>
        <w:pStyle w:val="CETBodytext"/>
        <w:rPr>
          <w:lang w:val="en-GB"/>
        </w:rPr>
      </w:pPr>
      <w:r w:rsidRPr="006E0912">
        <w:rPr>
          <w:lang w:val="en-GB"/>
        </w:rPr>
        <w:t>In Scenario 1, the model resulted in the formation of glycolic acid (C</w:t>
      </w:r>
      <w:r w:rsidRPr="006E0912">
        <w:rPr>
          <w:rFonts w:ascii="Cambria Math" w:hAnsi="Cambria Math" w:cs="Cambria Math"/>
          <w:lang w:val="en-GB"/>
        </w:rPr>
        <w:t>₂</w:t>
      </w:r>
      <w:r w:rsidRPr="006E0912">
        <w:rPr>
          <w:lang w:val="en-GB"/>
        </w:rPr>
        <w:t>H</w:t>
      </w:r>
      <w:r w:rsidRPr="006E0912">
        <w:rPr>
          <w:rFonts w:ascii="Cambria Math" w:hAnsi="Cambria Math" w:cs="Cambria Math"/>
          <w:lang w:val="en-GB"/>
        </w:rPr>
        <w:t>₄</w:t>
      </w:r>
      <w:r w:rsidRPr="006E0912">
        <w:rPr>
          <w:lang w:val="en-GB"/>
        </w:rPr>
        <w:t>O</w:t>
      </w:r>
      <w:r w:rsidRPr="006E0912">
        <w:rPr>
          <w:rFonts w:ascii="Cambria Math" w:hAnsi="Cambria Math" w:cs="Cambria Math"/>
          <w:lang w:val="en-GB"/>
        </w:rPr>
        <w:t>₃</w:t>
      </w:r>
      <w:r w:rsidRPr="006E0912">
        <w:rPr>
          <w:lang w:val="en-GB"/>
        </w:rPr>
        <w:t>) and methanol (CH</w:t>
      </w:r>
      <w:r w:rsidRPr="006E0912">
        <w:rPr>
          <w:rFonts w:ascii="Cambria Math" w:hAnsi="Cambria Math" w:cs="Cambria Math"/>
          <w:lang w:val="en-GB"/>
        </w:rPr>
        <w:t>₃</w:t>
      </w:r>
      <w:r w:rsidRPr="006E0912">
        <w:rPr>
          <w:lang w:val="en-GB"/>
        </w:rPr>
        <w:t>OH), configuring a strongly exothermic process. Glycolic acid was selected due to its high unit value and compatibility with the atomic balance, being one of the main C</w:t>
      </w:r>
      <w:r w:rsidRPr="006E0912">
        <w:rPr>
          <w:rFonts w:ascii="Cambria Math" w:hAnsi="Cambria Math" w:cs="Cambria Math"/>
          <w:lang w:val="en-GB"/>
        </w:rPr>
        <w:t>₂</w:t>
      </w:r>
      <w:r w:rsidRPr="006E0912">
        <w:rPr>
          <w:lang w:val="en-GB"/>
        </w:rPr>
        <w:t xml:space="preserve"> products derived from glycerol oxidation (Koronian et al., 2022). Tavera Ruiz et al. (2021) reported its production with 100% glycerol conversion using cerium</w:t>
      </w:r>
      <w:r w:rsidRPr="006E0912">
        <w:rPr>
          <w:rFonts w:cs="Arial"/>
          <w:lang w:val="en-GB"/>
        </w:rPr>
        <w:t>–</w:t>
      </w:r>
      <w:r w:rsidRPr="006E0912">
        <w:rPr>
          <w:lang w:val="en-GB"/>
        </w:rPr>
        <w:t>zirconium catalysts.</w:t>
      </w:r>
    </w:p>
    <w:p w14:paraId="5D5D4836" w14:textId="77777777" w:rsidR="006E0912" w:rsidRDefault="006E0912" w:rsidP="006E0912">
      <w:pPr>
        <w:pStyle w:val="CETBodytext"/>
        <w:rPr>
          <w:lang w:val="en-GB"/>
        </w:rPr>
      </w:pPr>
      <w:r w:rsidRPr="006E0912">
        <w:rPr>
          <w:lang w:val="en-GB"/>
        </w:rPr>
        <w:t>Methanol, although having a lower individual value, contributes to closing the H, C, and O balances and appears in larger amounts due to its low molar mass, increasing the total value of the scenario. Industrially, it can be produced from syngas generated by the reforming or partial oxidation of glycerol (Lin, 2013).</w:t>
      </w:r>
    </w:p>
    <w:p w14:paraId="5EA81509" w14:textId="77777777" w:rsidR="006E0912" w:rsidRDefault="006E0912" w:rsidP="006E0912">
      <w:pPr>
        <w:pStyle w:val="CETBodytext"/>
        <w:rPr>
          <w:lang w:val="en-GB"/>
        </w:rPr>
      </w:pPr>
      <w:r w:rsidRPr="006E0912">
        <w:rPr>
          <w:lang w:val="en-GB"/>
        </w:rPr>
        <w:t xml:space="preserve">In Scenario 2, the requirement to generate 100 </w:t>
      </w:r>
      <w:r w:rsidR="00753F0C">
        <w:rPr>
          <w:lang w:val="en-GB"/>
        </w:rPr>
        <w:t>k</w:t>
      </w:r>
      <w:r w:rsidRPr="006E0912">
        <w:rPr>
          <w:lang w:val="en-GB"/>
        </w:rPr>
        <w:t>mol of H</w:t>
      </w:r>
      <w:r w:rsidRPr="006E0912">
        <w:rPr>
          <w:rFonts w:ascii="Cambria Math" w:hAnsi="Cambria Math" w:cs="Cambria Math"/>
          <w:lang w:val="en-GB"/>
        </w:rPr>
        <w:t>₂</w:t>
      </w:r>
      <w:r w:rsidRPr="006E0912">
        <w:rPr>
          <w:lang w:val="en-GB"/>
        </w:rPr>
        <w:t xml:space="preserve"> alters the global balance and directs the solution primarily toward the formation of glycolic acid. This compound has a high unit value and is obtained in a greater amount than in Scenario 1, which, combined with the additional hydrogen generation, significantly increases the final process value.</w:t>
      </w:r>
    </w:p>
    <w:p w14:paraId="713BD6CE" w14:textId="77777777" w:rsidR="006E0912" w:rsidRDefault="004E6179" w:rsidP="006E0912">
      <w:pPr>
        <w:pStyle w:val="CETBodytext"/>
        <w:rPr>
          <w:lang w:val="en-GB"/>
        </w:rPr>
      </w:pPr>
      <w:r w:rsidRPr="004E6179">
        <w:rPr>
          <w:lang w:val="en-GB"/>
        </w:rPr>
        <w:t>Furthermore, this scenario presents the most exothermic reaction among those evaluated (-18,600 kJ), indicating good energy viability.</w:t>
      </w:r>
      <w:r>
        <w:rPr>
          <w:lang w:val="en-GB"/>
        </w:rPr>
        <w:t xml:space="preserve"> </w:t>
      </w:r>
      <w:r w:rsidR="006E0912" w:rsidRPr="006E0912">
        <w:rPr>
          <w:lang w:val="en-GB"/>
        </w:rPr>
        <w:t>As a result, the combination of high economic value per unit and stoichiometric viability makes glycolic acid the optimal solution for maximizing the final price when moderate hydrogen production is required.</w:t>
      </w:r>
    </w:p>
    <w:p w14:paraId="1FAC8331" w14:textId="77777777" w:rsidR="006E0912" w:rsidRDefault="006E0912" w:rsidP="006E0912">
      <w:pPr>
        <w:pStyle w:val="CETBodytext"/>
        <w:rPr>
          <w:lang w:val="en-GB"/>
        </w:rPr>
      </w:pPr>
      <w:r w:rsidRPr="006E0912">
        <w:rPr>
          <w:lang w:val="en-GB"/>
        </w:rPr>
        <w:t xml:space="preserve">In Scenario 3, the requirement of a </w:t>
      </w:r>
      <w:r w:rsidR="0031269A" w:rsidRPr="0031269A">
        <w:rPr>
          <w:lang w:val="en-GB"/>
        </w:rPr>
        <w:t xml:space="preserve">fixed production of 200 </w:t>
      </w:r>
      <w:r w:rsidR="00753F0C">
        <w:rPr>
          <w:lang w:val="en-GB"/>
        </w:rPr>
        <w:t>k</w:t>
      </w:r>
      <w:r w:rsidR="0031269A" w:rsidRPr="0031269A">
        <w:rPr>
          <w:lang w:val="en-GB"/>
        </w:rPr>
        <w:t>mol</w:t>
      </w:r>
      <w:r w:rsidR="0031269A">
        <w:rPr>
          <w:lang w:val="en-GB"/>
        </w:rPr>
        <w:t xml:space="preserve"> </w:t>
      </w:r>
      <w:r w:rsidRPr="006E0912">
        <w:rPr>
          <w:lang w:val="en-GB"/>
        </w:rPr>
        <w:t>of hydrogen changes the optimal configuration of the system. Since the hydrogen contained in glycerol is not sufficient to meet this demand, the model incorporates water as a reactant to supply additional hydrogen, adjusting the H and O balances without any relevant economic impact.</w:t>
      </w:r>
    </w:p>
    <w:p w14:paraId="3831A713" w14:textId="77777777" w:rsidR="006E0912" w:rsidRDefault="006E0912" w:rsidP="006E0912">
      <w:pPr>
        <w:pStyle w:val="CETBodytext"/>
        <w:rPr>
          <w:lang w:val="en-GB"/>
        </w:rPr>
      </w:pPr>
      <w:r w:rsidRPr="006E0912">
        <w:rPr>
          <w:lang w:val="en-GB"/>
        </w:rPr>
        <w:t>In this more oxidizing scenario, in addition to glycolic acid, formic acid (CH</w:t>
      </w:r>
      <w:r w:rsidRPr="006E0912">
        <w:rPr>
          <w:rFonts w:ascii="Cambria Math" w:hAnsi="Cambria Math" w:cs="Cambria Math"/>
          <w:lang w:val="en-GB"/>
        </w:rPr>
        <w:t>₂</w:t>
      </w:r>
      <w:r w:rsidRPr="006E0912">
        <w:rPr>
          <w:lang w:val="en-GB"/>
        </w:rPr>
        <w:t>O</w:t>
      </w:r>
      <w:r w:rsidRPr="006E0912">
        <w:rPr>
          <w:rFonts w:ascii="Cambria Math" w:hAnsi="Cambria Math" w:cs="Cambria Math"/>
          <w:lang w:val="en-GB"/>
        </w:rPr>
        <w:t>₃</w:t>
      </w:r>
      <w:r w:rsidRPr="006E0912">
        <w:rPr>
          <w:lang w:val="en-GB"/>
        </w:rPr>
        <w:t>) is also formed, a compound compatible with the lower H/C ratio required. Industrially, this compound is mainly obtained through the selective oxidation of glycerol. Xu et al. (2014) reported that metallic catalysts such as Ru(OH)</w:t>
      </w:r>
      <w:r w:rsidRPr="006E0912">
        <w:rPr>
          <w:rFonts w:ascii="Cambria Math" w:hAnsi="Cambria Math" w:cs="Cambria Math"/>
          <w:lang w:val="en-GB"/>
        </w:rPr>
        <w:t>₄</w:t>
      </w:r>
      <w:r w:rsidRPr="006E0912">
        <w:rPr>
          <w:lang w:val="en-GB"/>
        </w:rPr>
        <w:t>/r-GO and FeCl</w:t>
      </w:r>
      <w:r w:rsidRPr="006E0912">
        <w:rPr>
          <w:rFonts w:ascii="Cambria Math" w:hAnsi="Cambria Math" w:cs="Cambria Math"/>
          <w:lang w:val="en-GB"/>
        </w:rPr>
        <w:t>₃</w:t>
      </w:r>
      <w:r w:rsidRPr="006E0912">
        <w:rPr>
          <w:lang w:val="en-GB"/>
        </w:rPr>
        <w:t xml:space="preserve"> can direct glycerol oxidation toward formic acid, achieving conversions of up to 95% and yields above 50%.</w:t>
      </w:r>
    </w:p>
    <w:p w14:paraId="63E34730" w14:textId="77777777" w:rsidR="002F439C" w:rsidRDefault="00B77E69" w:rsidP="00501BC2">
      <w:pPr>
        <w:pStyle w:val="CETBodytext"/>
        <w:rPr>
          <w:lang w:val="en-GB"/>
        </w:rPr>
      </w:pPr>
      <w:r w:rsidRPr="00B77E69">
        <w:rPr>
          <w:lang w:val="en-GB"/>
        </w:rPr>
        <w:t xml:space="preserve">Scenarios 4–6, despite the different proportions of oxygen and water, resulted in the same set of products, varying only in the molar quantities obtained. This </w:t>
      </w:r>
      <w:r w:rsidR="006F2E13" w:rsidRPr="00B77E69">
        <w:rPr>
          <w:lang w:val="en-GB"/>
        </w:rPr>
        <w:t>behaviour</w:t>
      </w:r>
      <w:r w:rsidRPr="00B77E69">
        <w:rPr>
          <w:lang w:val="en-GB"/>
        </w:rPr>
        <w:t xml:space="preserve"> reflects the role of oxygen in the redistribution of oxygenated products according to their availability, while water primarily acts to adjust the hydrogen balance of the system.</w:t>
      </w:r>
      <w:r w:rsidR="002F439C">
        <w:rPr>
          <w:lang w:val="en-GB"/>
        </w:rPr>
        <w:t xml:space="preserve"> </w:t>
      </w:r>
      <w:r w:rsidRPr="00B77E69">
        <w:rPr>
          <w:lang w:val="en-GB"/>
        </w:rPr>
        <w:t>The additional formation of 1-propanol (C</w:t>
      </w:r>
      <w:r w:rsidRPr="00B77E69">
        <w:rPr>
          <w:rFonts w:ascii="Cambria Math" w:hAnsi="Cambria Math" w:cs="Cambria Math"/>
          <w:lang w:val="en-GB"/>
        </w:rPr>
        <w:t>₃</w:t>
      </w:r>
      <w:r w:rsidRPr="00B77E69">
        <w:rPr>
          <w:lang w:val="en-GB"/>
        </w:rPr>
        <w:t>H</w:t>
      </w:r>
      <w:r w:rsidRPr="00B77E69">
        <w:rPr>
          <w:rFonts w:ascii="Cambria Math" w:hAnsi="Cambria Math" w:cs="Cambria Math"/>
          <w:lang w:val="en-GB"/>
        </w:rPr>
        <w:t>₈</w:t>
      </w:r>
      <w:r w:rsidRPr="00B77E69">
        <w:rPr>
          <w:lang w:val="en-GB"/>
        </w:rPr>
        <w:t xml:space="preserve">O) was observed, remaining almost constant and accommodating the excess hydrogen introduced by the minimum water restriction. </w:t>
      </w:r>
    </w:p>
    <w:p w14:paraId="212EDAA0" w14:textId="77777777" w:rsidR="00B77E69" w:rsidRDefault="00B77E69" w:rsidP="00501BC2">
      <w:pPr>
        <w:pStyle w:val="CETBodytext"/>
        <w:rPr>
          <w:lang w:val="en-GB"/>
        </w:rPr>
      </w:pPr>
      <w:r w:rsidRPr="00B77E69">
        <w:rPr>
          <w:lang w:val="en-GB"/>
        </w:rPr>
        <w:lastRenderedPageBreak/>
        <w:t>Another compound present is lactic acid (C</w:t>
      </w:r>
      <w:r w:rsidRPr="00B77E69">
        <w:rPr>
          <w:rFonts w:ascii="Cambria Math" w:hAnsi="Cambria Math" w:cs="Cambria Math"/>
          <w:lang w:val="en-GB"/>
        </w:rPr>
        <w:t>₃</w:t>
      </w:r>
      <w:r w:rsidRPr="00B77E69">
        <w:rPr>
          <w:lang w:val="en-GB"/>
        </w:rPr>
        <w:t>H</w:t>
      </w:r>
      <w:r w:rsidRPr="00B77E69">
        <w:rPr>
          <w:rFonts w:ascii="Cambria Math" w:hAnsi="Cambria Math" w:cs="Cambria Math"/>
          <w:lang w:val="en-GB"/>
        </w:rPr>
        <w:t>₆</w:t>
      </w:r>
      <w:r w:rsidRPr="00B77E69">
        <w:rPr>
          <w:lang w:val="en-GB"/>
        </w:rPr>
        <w:t>O</w:t>
      </w:r>
      <w:r w:rsidRPr="00B77E69">
        <w:rPr>
          <w:rFonts w:ascii="Cambria Math" w:hAnsi="Cambria Math" w:cs="Cambria Math"/>
          <w:lang w:val="en-GB"/>
        </w:rPr>
        <w:t>₃</w:t>
      </w:r>
      <w:r w:rsidRPr="00B77E69">
        <w:rPr>
          <w:lang w:val="en-GB"/>
        </w:rPr>
        <w:t>), which acts as an economically viable alternative for maximizing the objective function when the formation of glycolic acid (C</w:t>
      </w:r>
      <w:r w:rsidRPr="00B77E69">
        <w:rPr>
          <w:rFonts w:ascii="Cambria Math" w:hAnsi="Cambria Math" w:cs="Cambria Math"/>
          <w:lang w:val="en-GB"/>
        </w:rPr>
        <w:t>₂</w:t>
      </w:r>
      <w:r w:rsidRPr="00B77E69">
        <w:rPr>
          <w:lang w:val="en-GB"/>
        </w:rPr>
        <w:t>H</w:t>
      </w:r>
      <w:r w:rsidRPr="00B77E69">
        <w:rPr>
          <w:rFonts w:ascii="Cambria Math" w:hAnsi="Cambria Math" w:cs="Cambria Math"/>
          <w:lang w:val="en-GB"/>
        </w:rPr>
        <w:t>₄</w:t>
      </w:r>
      <w:r w:rsidRPr="00B77E69">
        <w:rPr>
          <w:lang w:val="en-GB"/>
        </w:rPr>
        <w:t>O</w:t>
      </w:r>
      <w:r w:rsidRPr="00B77E69">
        <w:rPr>
          <w:rFonts w:ascii="Cambria Math" w:hAnsi="Cambria Math" w:cs="Cambria Math"/>
          <w:lang w:val="en-GB"/>
        </w:rPr>
        <w:t>₃</w:t>
      </w:r>
      <w:r w:rsidRPr="00B77E69">
        <w:rPr>
          <w:lang w:val="en-GB"/>
        </w:rPr>
        <w:t>), one of the products with the highest unit value considered, is limited by oxygen availability.</w:t>
      </w:r>
      <w:r w:rsidR="00F157C9">
        <w:rPr>
          <w:lang w:val="en-GB"/>
        </w:rPr>
        <w:t xml:space="preserve"> </w:t>
      </w:r>
      <w:r w:rsidRPr="00B77E69">
        <w:rPr>
          <w:lang w:val="en-GB"/>
        </w:rPr>
        <w:t>The feasibility of converting glycerol into lactic acid has been widely reported in the literature. Venkateshappa et al. (2024) demonstrated high yields and selectivity in the production of lactic acid from glycerol using iron catalytic complexes, highlighting the potential of this compound as a high value-added product derived from glycerol.</w:t>
      </w:r>
    </w:p>
    <w:p w14:paraId="1D85EBF7" w14:textId="77777777" w:rsidR="00B77E69" w:rsidRDefault="00B77E69" w:rsidP="00501BC2">
      <w:pPr>
        <w:pStyle w:val="CETBodytext"/>
        <w:rPr>
          <w:lang w:val="en-GB"/>
        </w:rPr>
      </w:pPr>
      <w:r w:rsidRPr="00B77E69">
        <w:rPr>
          <w:lang w:val="en-GB"/>
        </w:rPr>
        <w:t xml:space="preserve">As oxygen availability increases, as observed in Scenario 6, the system progressively approaches the </w:t>
      </w:r>
      <w:r w:rsidR="006F2E13" w:rsidRPr="00B77E69">
        <w:rPr>
          <w:lang w:val="en-GB"/>
        </w:rPr>
        <w:t>behaviour</w:t>
      </w:r>
      <w:r w:rsidRPr="00B77E69">
        <w:rPr>
          <w:lang w:val="en-GB"/>
        </w:rPr>
        <w:t xml:space="preserve"> observed in Scenario 3, resulting in higher final selling prices. This trend is associated with the enhanced formation of glycolic acid (C</w:t>
      </w:r>
      <w:r w:rsidRPr="00B77E69">
        <w:rPr>
          <w:rFonts w:ascii="Cambria Math" w:hAnsi="Cambria Math" w:cs="Cambria Math"/>
          <w:lang w:val="en-GB"/>
        </w:rPr>
        <w:t>₂</w:t>
      </w:r>
      <w:r w:rsidRPr="00B77E69">
        <w:rPr>
          <w:lang w:val="en-GB"/>
        </w:rPr>
        <w:t>H</w:t>
      </w:r>
      <w:r w:rsidRPr="00B77E69">
        <w:rPr>
          <w:rFonts w:ascii="Cambria Math" w:hAnsi="Cambria Math" w:cs="Cambria Math"/>
          <w:lang w:val="en-GB"/>
        </w:rPr>
        <w:t>₄</w:t>
      </w:r>
      <w:r w:rsidRPr="00B77E69">
        <w:rPr>
          <w:lang w:val="en-GB"/>
        </w:rPr>
        <w:t>O</w:t>
      </w:r>
      <w:r w:rsidRPr="00B77E69">
        <w:rPr>
          <w:rFonts w:ascii="Cambria Math" w:hAnsi="Cambria Math" w:cs="Cambria Math"/>
          <w:lang w:val="en-GB"/>
        </w:rPr>
        <w:t>₃</w:t>
      </w:r>
      <w:r w:rsidRPr="00B77E69">
        <w:rPr>
          <w:lang w:val="en-GB"/>
        </w:rPr>
        <w:t>), thereby improving the overall economic attractiveness of the system.</w:t>
      </w:r>
    </w:p>
    <w:p w14:paraId="35BA3348" w14:textId="77777777" w:rsidR="00B77E69" w:rsidRDefault="00B77E69" w:rsidP="00501BC2">
      <w:pPr>
        <w:pStyle w:val="CETBodytext"/>
        <w:rPr>
          <w:lang w:val="en-GB"/>
        </w:rPr>
      </w:pPr>
      <w:r w:rsidRPr="00B77E69">
        <w:rPr>
          <w:lang w:val="en-GB"/>
        </w:rPr>
        <w:t>Overall, Scenarios 4-6 can be interpreted as restricted adaptations of Scenario 3, preserving the trend toward economic optimization while adjusting the distribution of products under feedstock availability constraints imposed on the system.</w:t>
      </w:r>
    </w:p>
    <w:p w14:paraId="434E0EBF" w14:textId="77777777" w:rsidR="00B77E69" w:rsidRDefault="00B77E69" w:rsidP="00501BC2">
      <w:pPr>
        <w:pStyle w:val="CETBodytext"/>
        <w:rPr>
          <w:lang w:val="en-GB"/>
        </w:rPr>
      </w:pPr>
      <w:r w:rsidRPr="00B77E69">
        <w:rPr>
          <w:lang w:val="en-GB"/>
        </w:rPr>
        <w:t>Scenarios 7 and 8 introduce a new perspective to the system by imposing a minimum restriction on N</w:t>
      </w:r>
      <w:r w:rsidRPr="00B77E69">
        <w:rPr>
          <w:rFonts w:ascii="Cambria Math" w:hAnsi="Cambria Math" w:cs="Cambria Math"/>
          <w:lang w:val="en-GB"/>
        </w:rPr>
        <w:t>₂</w:t>
      </w:r>
      <w:r w:rsidRPr="00B77E69">
        <w:rPr>
          <w:lang w:val="en-GB"/>
        </w:rPr>
        <w:t xml:space="preserve"> use, which leads to the formation of a new compound, acrylonitrile (C</w:t>
      </w:r>
      <w:r w:rsidRPr="00B77E69">
        <w:rPr>
          <w:rFonts w:ascii="Cambria Math" w:hAnsi="Cambria Math" w:cs="Cambria Math"/>
          <w:lang w:val="en-GB"/>
        </w:rPr>
        <w:t>₃</w:t>
      </w:r>
      <w:r w:rsidRPr="00B77E69">
        <w:rPr>
          <w:lang w:val="en-GB"/>
        </w:rPr>
        <w:t>H</w:t>
      </w:r>
      <w:r w:rsidRPr="00B77E69">
        <w:rPr>
          <w:rFonts w:ascii="Cambria Math" w:hAnsi="Cambria Math" w:cs="Cambria Math"/>
          <w:lang w:val="en-GB"/>
        </w:rPr>
        <w:t>₃</w:t>
      </w:r>
      <w:r w:rsidRPr="00B77E69">
        <w:rPr>
          <w:lang w:val="en-GB"/>
        </w:rPr>
        <w:t>N), without compromising high H</w:t>
      </w:r>
      <w:r w:rsidRPr="00B77E69">
        <w:rPr>
          <w:rFonts w:ascii="Cambria Math" w:hAnsi="Cambria Math" w:cs="Cambria Math"/>
          <w:lang w:val="en-GB"/>
        </w:rPr>
        <w:t>₂</w:t>
      </w:r>
      <w:r w:rsidRPr="00B77E69">
        <w:rPr>
          <w:lang w:val="en-GB"/>
        </w:rPr>
        <w:t xml:space="preserve"> production.</w:t>
      </w:r>
      <w:r w:rsidR="004E6179">
        <w:rPr>
          <w:lang w:val="en-GB"/>
        </w:rPr>
        <w:t xml:space="preserve"> </w:t>
      </w:r>
      <w:r w:rsidRPr="00B77E69">
        <w:rPr>
          <w:lang w:val="en-GB"/>
        </w:rPr>
        <w:t>The production of acrylonitrile from glycerol has attracted growing industrial interest. Guerra et al. (2023) proposed obtaining renewable acrylonitrile from glycerol using green propylene as an intermediate, highlighting the versatility of this route for converting renewable feedstocks into high value-added nitrogenous products.</w:t>
      </w:r>
    </w:p>
    <w:p w14:paraId="24989B11" w14:textId="77777777" w:rsidR="00B77E69" w:rsidRDefault="00B77E69" w:rsidP="00501BC2">
      <w:pPr>
        <w:pStyle w:val="CETBodytext"/>
        <w:rPr>
          <w:lang w:val="en-GB"/>
        </w:rPr>
      </w:pPr>
      <w:r w:rsidRPr="00B77E69">
        <w:rPr>
          <w:lang w:val="en-GB"/>
        </w:rPr>
        <w:t>In Scenario 7, N</w:t>
      </w:r>
      <w:r w:rsidRPr="00B77E69">
        <w:rPr>
          <w:rFonts w:ascii="Cambria Math" w:hAnsi="Cambria Math" w:cs="Cambria Math"/>
          <w:lang w:val="en-GB"/>
        </w:rPr>
        <w:t>₂</w:t>
      </w:r>
      <w:r w:rsidRPr="00B77E69">
        <w:rPr>
          <w:lang w:val="en-GB"/>
        </w:rPr>
        <w:t xml:space="preserve"> acts as a secondary component, resulting in limited acrylonitrile formation. In contrast, in Scenario 8, the increased availability of N</w:t>
      </w:r>
      <w:r w:rsidRPr="00B77E69">
        <w:rPr>
          <w:rFonts w:ascii="Cambria Math" w:hAnsi="Cambria Math" w:cs="Cambria Math"/>
          <w:lang w:val="en-GB"/>
        </w:rPr>
        <w:t>₂</w:t>
      </w:r>
      <w:r w:rsidRPr="00B77E69">
        <w:rPr>
          <w:lang w:val="en-GB"/>
        </w:rPr>
        <w:t xml:space="preserve"> intensifies the formation of C</w:t>
      </w:r>
      <w:r w:rsidRPr="00B77E69">
        <w:rPr>
          <w:rFonts w:ascii="Cambria Math" w:hAnsi="Cambria Math" w:cs="Cambria Math"/>
          <w:lang w:val="en-GB"/>
        </w:rPr>
        <w:t>₃</w:t>
      </w:r>
      <w:r w:rsidRPr="00B77E69">
        <w:rPr>
          <w:lang w:val="en-GB"/>
        </w:rPr>
        <w:t>H</w:t>
      </w:r>
      <w:r w:rsidRPr="00B77E69">
        <w:rPr>
          <w:rFonts w:ascii="Cambria Math" w:hAnsi="Cambria Math" w:cs="Cambria Math"/>
          <w:lang w:val="en-GB"/>
        </w:rPr>
        <w:t>₃</w:t>
      </w:r>
      <w:r w:rsidRPr="00B77E69">
        <w:rPr>
          <w:lang w:val="en-GB"/>
        </w:rPr>
        <w:t>N, demonstrating the system's ability to direct carbon to nitrogenous products as nitrogen availability increases.</w:t>
      </w:r>
    </w:p>
    <w:p w14:paraId="0D81A150" w14:textId="77777777" w:rsidR="00B77E69" w:rsidRDefault="00B77E69" w:rsidP="00501BC2">
      <w:pPr>
        <w:pStyle w:val="CETBodytext"/>
        <w:rPr>
          <w:lang w:val="en-GB"/>
        </w:rPr>
      </w:pPr>
      <w:r w:rsidRPr="00B77E69">
        <w:rPr>
          <w:lang w:val="en-GB"/>
        </w:rPr>
        <w:t xml:space="preserve">Despite the higher production of acrylonitrile in Scenario 8, the final price of the process is lower than that observed in Scenario 7. This </w:t>
      </w:r>
      <w:r w:rsidR="006F2E13" w:rsidRPr="00B77E69">
        <w:rPr>
          <w:lang w:val="en-GB"/>
        </w:rPr>
        <w:t>behaviour</w:t>
      </w:r>
      <w:r w:rsidRPr="00B77E69">
        <w:rPr>
          <w:lang w:val="en-GB"/>
        </w:rPr>
        <w:t xml:space="preserve"> is associated with a reduction in the formation of glycolic acid (C</w:t>
      </w:r>
      <w:r w:rsidRPr="00B77E69">
        <w:rPr>
          <w:rFonts w:ascii="Cambria Math" w:hAnsi="Cambria Math" w:cs="Cambria Math"/>
          <w:lang w:val="en-GB"/>
        </w:rPr>
        <w:t>₂</w:t>
      </w:r>
      <w:r w:rsidRPr="00B77E69">
        <w:rPr>
          <w:lang w:val="en-GB"/>
        </w:rPr>
        <w:t>H</w:t>
      </w:r>
      <w:r w:rsidRPr="00B77E69">
        <w:rPr>
          <w:rFonts w:ascii="Cambria Math" w:hAnsi="Cambria Math" w:cs="Cambria Math"/>
          <w:lang w:val="en-GB"/>
        </w:rPr>
        <w:t>₄</w:t>
      </w:r>
      <w:r w:rsidRPr="00B77E69">
        <w:rPr>
          <w:lang w:val="en-GB"/>
        </w:rPr>
        <w:t>O</w:t>
      </w:r>
      <w:r w:rsidRPr="00B77E69">
        <w:rPr>
          <w:rFonts w:ascii="Cambria Math" w:hAnsi="Cambria Math" w:cs="Cambria Math"/>
          <w:lang w:val="en-GB"/>
        </w:rPr>
        <w:t>₃</w:t>
      </w:r>
      <w:r w:rsidRPr="00B77E69">
        <w:rPr>
          <w:lang w:val="en-GB"/>
        </w:rPr>
        <w:t>) and an increase in the production of formic acid (CH</w:t>
      </w:r>
      <w:r w:rsidRPr="00B77E69">
        <w:rPr>
          <w:rFonts w:ascii="Cambria Math" w:hAnsi="Cambria Math" w:cs="Cambria Math"/>
          <w:lang w:val="en-GB"/>
        </w:rPr>
        <w:t>₂</w:t>
      </w:r>
      <w:r w:rsidRPr="00B77E69">
        <w:rPr>
          <w:lang w:val="en-GB"/>
        </w:rPr>
        <w:t>O</w:t>
      </w:r>
      <w:r w:rsidRPr="00B77E69">
        <w:rPr>
          <w:rFonts w:ascii="Cambria Math" w:hAnsi="Cambria Math" w:cs="Cambria Math"/>
          <w:lang w:val="en-GB"/>
        </w:rPr>
        <w:t>₂</w:t>
      </w:r>
      <w:r w:rsidRPr="00B77E69">
        <w:rPr>
          <w:lang w:val="en-GB"/>
        </w:rPr>
        <w:t>), which has a lower economic value.</w:t>
      </w:r>
      <w:r w:rsidRPr="00B77E69">
        <w:t xml:space="preserve"> </w:t>
      </w:r>
      <w:r w:rsidRPr="00B77E69">
        <w:rPr>
          <w:lang w:val="en-GB"/>
        </w:rPr>
        <w:t>The inclusion of N</w:t>
      </w:r>
      <w:r w:rsidRPr="00B77E69">
        <w:rPr>
          <w:rFonts w:ascii="Cambria Math" w:hAnsi="Cambria Math" w:cs="Cambria Math"/>
          <w:lang w:val="en-GB"/>
        </w:rPr>
        <w:t>₂</w:t>
      </w:r>
      <w:r w:rsidRPr="00B77E69">
        <w:rPr>
          <w:lang w:val="en-GB"/>
        </w:rPr>
        <w:t xml:space="preserve"> in the system enables the formation of high value-added nitrogen compounds, expanding the possibilities for glycerol valorization</w:t>
      </w:r>
      <w:r w:rsidR="006F2E13">
        <w:rPr>
          <w:lang w:val="en-GB"/>
        </w:rPr>
        <w:t>.</w:t>
      </w:r>
    </w:p>
    <w:p w14:paraId="41162E23" w14:textId="77777777" w:rsidR="002063AE" w:rsidRPr="00501BC2" w:rsidRDefault="002063AE" w:rsidP="00501BC2">
      <w:pPr>
        <w:pStyle w:val="CETBodytext"/>
        <w:rPr>
          <w:lang w:val="en-GB"/>
        </w:rPr>
      </w:pPr>
      <w:r w:rsidRPr="002063AE">
        <w:rPr>
          <w:lang w:val="en-GB"/>
        </w:rPr>
        <w:t>Although these results highlight the potential of the proposed pathways, a detailed estimation of investment costs was not considered at this stage and will be evaluated in future work, including process simulation in Aspen Plus and a techno-economic analysis of the scenarios.</w:t>
      </w:r>
    </w:p>
    <w:p w14:paraId="0AF4D7C6" w14:textId="77777777" w:rsidR="00600535" w:rsidRPr="00B57B36" w:rsidRDefault="00600535" w:rsidP="00600535">
      <w:pPr>
        <w:pStyle w:val="CETHeading1"/>
        <w:rPr>
          <w:lang w:val="en-GB"/>
        </w:rPr>
      </w:pPr>
      <w:r w:rsidRPr="00B57B36">
        <w:rPr>
          <w:lang w:val="en-GB"/>
        </w:rPr>
        <w:t>Conclusions</w:t>
      </w:r>
    </w:p>
    <w:p w14:paraId="6E067F59" w14:textId="77777777" w:rsidR="001D0CFB" w:rsidRDefault="00805815" w:rsidP="00600535">
      <w:pPr>
        <w:pStyle w:val="CETBodytext"/>
        <w:rPr>
          <w:lang w:val="en-GB"/>
        </w:rPr>
      </w:pPr>
      <w:r w:rsidRPr="00805815">
        <w:rPr>
          <w:lang w:val="en-GB"/>
        </w:rPr>
        <w:t>This work presented a global synthesis methodology to identify economically attractive reaction routes using purified glycerol as feedstock and hydrogen as a coproduct under zero CO</w:t>
      </w:r>
      <w:r w:rsidRPr="00805815">
        <w:rPr>
          <w:rFonts w:ascii="Cambria Math" w:hAnsi="Cambria Math" w:cs="Cambria Math"/>
          <w:lang w:val="en-GB"/>
        </w:rPr>
        <w:t>₂</w:t>
      </w:r>
      <w:r w:rsidRPr="00805815">
        <w:rPr>
          <w:lang w:val="en-GB"/>
        </w:rPr>
        <w:t xml:space="preserve"> </w:t>
      </w:r>
      <w:r w:rsidR="0090368E">
        <w:rPr>
          <w:lang w:val="en-GB"/>
        </w:rPr>
        <w:t>product</w:t>
      </w:r>
      <w:r w:rsidRPr="00805815">
        <w:rPr>
          <w:lang w:val="en-GB"/>
        </w:rPr>
        <w:t>ion conditions. The linear programming model enabled the determination of optimal combinations of reactants and products.</w:t>
      </w:r>
    </w:p>
    <w:p w14:paraId="0A5070EC" w14:textId="77777777" w:rsidR="00805815" w:rsidRPr="00805815" w:rsidRDefault="00805815" w:rsidP="00600535">
      <w:pPr>
        <w:pStyle w:val="CETBodytext"/>
        <w:rPr>
          <w:lang w:val="en-GB"/>
        </w:rPr>
      </w:pPr>
      <w:r w:rsidRPr="00805815">
        <w:rPr>
          <w:lang w:val="en-GB"/>
        </w:rPr>
        <w:t xml:space="preserve">All evaluated scenarios satisfied atomic balance, non-negativity, and global enthalpy constraints, resulting in exothermic processes. Scenario 2 exhibited the best economic performance, with a </w:t>
      </w:r>
      <w:r w:rsidR="00167A8D" w:rsidRPr="00167A8D">
        <w:rPr>
          <w:lang w:val="en-GB"/>
        </w:rPr>
        <w:t>fixed hydrogen production</w:t>
      </w:r>
      <w:r w:rsidRPr="00805815">
        <w:rPr>
          <w:lang w:val="en-GB"/>
        </w:rPr>
        <w:t xml:space="preserve"> of 100 </w:t>
      </w:r>
      <w:r w:rsidR="002300FA">
        <w:rPr>
          <w:lang w:val="en-GB"/>
        </w:rPr>
        <w:t>k</w:t>
      </w:r>
      <w:r w:rsidRPr="00805815">
        <w:rPr>
          <w:lang w:val="en-GB"/>
        </w:rPr>
        <w:t>mol, a financial return of US$ 30,960, and the highest energetic feasibility (–18,600 kJ).</w:t>
      </w:r>
    </w:p>
    <w:p w14:paraId="4B08BD50" w14:textId="77777777" w:rsidR="00805815" w:rsidRDefault="00805815" w:rsidP="00600535">
      <w:pPr>
        <w:pStyle w:val="CETBodytext"/>
        <w:rPr>
          <w:lang w:val="en-GB"/>
        </w:rPr>
      </w:pPr>
      <w:r w:rsidRPr="00805815">
        <w:rPr>
          <w:lang w:val="en-GB"/>
        </w:rPr>
        <w:t xml:space="preserve">Although Scenario 7 presents a lower final selling price than Scenario 2, it stands out due to its greater product diversity and higher hydrogen production (200 </w:t>
      </w:r>
      <w:r w:rsidR="001D7B3E">
        <w:rPr>
          <w:lang w:val="en-GB"/>
        </w:rPr>
        <w:t>k</w:t>
      </w:r>
      <w:r w:rsidRPr="00805815">
        <w:rPr>
          <w:lang w:val="en-GB"/>
        </w:rPr>
        <w:t>mol). Additionally, the formation of acrylonitrile, even in low amounts, highlights the potential of the system to produce nitrogen-containing compounds of industrial interest, thereby expanding the possibilities for glycerol valorization.</w:t>
      </w:r>
      <w:r>
        <w:rPr>
          <w:lang w:val="en-GB"/>
        </w:rPr>
        <w:t xml:space="preserve"> </w:t>
      </w:r>
      <w:r w:rsidRPr="00805815">
        <w:rPr>
          <w:lang w:val="en-GB"/>
        </w:rPr>
        <w:t>The formation of glycolic acid, observed in all scenarios, was decisive for economic viability due to its high unit value and significant production. Overall, the model proved to be an efficient tool for selecting viable reactants and products, contributing to glycerol valorization and highlighting the potential of hydrogen as a coproduct in maximizing the overall process value.</w:t>
      </w:r>
    </w:p>
    <w:p w14:paraId="29538D04" w14:textId="77777777" w:rsidR="00600535" w:rsidRPr="00B57B36" w:rsidRDefault="00600535" w:rsidP="00527A1E">
      <w:pPr>
        <w:pStyle w:val="CETAcknowledgementstitle"/>
        <w:spacing w:before="240"/>
      </w:pPr>
      <w:r w:rsidRPr="00B57B36">
        <w:t>Acknowledgments</w:t>
      </w:r>
    </w:p>
    <w:p w14:paraId="05559BF6" w14:textId="77777777" w:rsidR="002A7141" w:rsidRPr="00B57B36" w:rsidRDefault="002A7141" w:rsidP="002A7141">
      <w:pPr>
        <w:pStyle w:val="CETBodytext"/>
        <w:rPr>
          <w:lang w:val="en-GB"/>
        </w:rPr>
      </w:pPr>
      <w:r w:rsidRPr="002A7141">
        <w:rPr>
          <w:lang w:val="en-GB"/>
        </w:rPr>
        <w:t xml:space="preserve">This study was supported by </w:t>
      </w:r>
      <w:r w:rsidR="00171F9E" w:rsidRPr="00171F9E">
        <w:rPr>
          <w:lang w:val="en-GB"/>
        </w:rPr>
        <w:t>Coordenação de Aperfeiçoamento de Pessoal de Nível Superior</w:t>
      </w:r>
      <w:r w:rsidR="00171F9E">
        <w:rPr>
          <w:lang w:val="en-GB"/>
        </w:rPr>
        <w:t xml:space="preserve"> - </w:t>
      </w:r>
      <w:r w:rsidRPr="002A7141">
        <w:rPr>
          <w:lang w:val="en-GB"/>
        </w:rPr>
        <w:t>CAPES, Bra</w:t>
      </w:r>
      <w:r w:rsidR="007139BF">
        <w:rPr>
          <w:lang w:val="en-GB"/>
        </w:rPr>
        <w:t>zil - Finance Code 001 (Grant n</w:t>
      </w:r>
      <w:r w:rsidRPr="002A7141">
        <w:rPr>
          <w:lang w:val="en-GB"/>
        </w:rPr>
        <w:t xml:space="preserve">. 88887.132544/2025-00), and by the São Paulo Research Foundation </w:t>
      </w:r>
      <w:r w:rsidR="002D72C7">
        <w:rPr>
          <w:lang w:val="en-GB"/>
        </w:rPr>
        <w:t xml:space="preserve">- </w:t>
      </w:r>
      <w:r w:rsidR="007139BF">
        <w:rPr>
          <w:lang w:val="en-GB"/>
        </w:rPr>
        <w:t>FAPESP (Grant n</w:t>
      </w:r>
      <w:r w:rsidRPr="002A7141">
        <w:rPr>
          <w:lang w:val="en-GB"/>
        </w:rPr>
        <w:t>. 2022/16379-8).</w:t>
      </w:r>
    </w:p>
    <w:p w14:paraId="404CE71C" w14:textId="77777777" w:rsidR="00600535" w:rsidRDefault="00600535" w:rsidP="00484006">
      <w:pPr>
        <w:pStyle w:val="CETReference"/>
        <w:spacing w:before="240"/>
      </w:pPr>
      <w:r w:rsidRPr="00B57B36">
        <w:t>References</w:t>
      </w:r>
    </w:p>
    <w:p w14:paraId="614B0698" w14:textId="77777777" w:rsidR="000436FA" w:rsidRDefault="000436FA" w:rsidP="00C24AF1">
      <w:pPr>
        <w:pStyle w:val="CETReferencetext"/>
      </w:pPr>
      <w:r w:rsidRPr="000436FA">
        <w:t>Curcio E., 2025, Techno-economic analysis of hydrogen production: Costs, policies, and scalability in the transition to net-zero. International Journal of Hydrogen Energy, 128, 473–487.</w:t>
      </w:r>
    </w:p>
    <w:p w14:paraId="1648E4DD" w14:textId="77777777" w:rsidR="000436FA" w:rsidRDefault="000436FA" w:rsidP="00C24AF1">
      <w:pPr>
        <w:pStyle w:val="CETReferencetext"/>
      </w:pPr>
      <w:r w:rsidRPr="000436FA">
        <w:t>Echemi</w:t>
      </w:r>
      <w:r w:rsidR="00895BF1">
        <w:t xml:space="preserve">, </w:t>
      </w:r>
      <w:r w:rsidRPr="000436FA">
        <w:t>2025</w:t>
      </w:r>
      <w:r w:rsidR="00895BF1">
        <w:t xml:space="preserve">, </w:t>
      </w:r>
      <w:r w:rsidRPr="000436FA">
        <w:t>1-Propanol Price Database &lt;echemi.com/price-database/1-propanol-pd20170111160501595.html&gt; accessed 05.12.2025.</w:t>
      </w:r>
    </w:p>
    <w:p w14:paraId="0580BE7E" w14:textId="77777777" w:rsidR="009A4717" w:rsidRDefault="009A4717" w:rsidP="009A4717">
      <w:pPr>
        <w:pStyle w:val="CETReferencetext"/>
      </w:pPr>
      <w:r>
        <w:lastRenderedPageBreak/>
        <w:t>Guerra</w:t>
      </w:r>
      <w:r w:rsidRPr="006B4888">
        <w:t xml:space="preserve"> </w:t>
      </w:r>
      <w:r>
        <w:t>G.N</w:t>
      </w:r>
      <w:r w:rsidRPr="006B4888">
        <w:t xml:space="preserve">., </w:t>
      </w:r>
      <w:r>
        <w:t>Neto</w:t>
      </w:r>
      <w:r w:rsidRPr="006B4888">
        <w:t xml:space="preserve"> </w:t>
      </w:r>
      <w:r>
        <w:t>G.J.M</w:t>
      </w:r>
      <w:r w:rsidRPr="006B4888">
        <w:t xml:space="preserve">., </w:t>
      </w:r>
      <w:r>
        <w:t>Alves R</w:t>
      </w:r>
      <w:r w:rsidRPr="006B4888">
        <w:t>.</w:t>
      </w:r>
      <w:r>
        <w:t>M.B</w:t>
      </w:r>
      <w:r w:rsidRPr="006B4888">
        <w:t xml:space="preserve">., </w:t>
      </w:r>
      <w:r>
        <w:t>Pontes</w:t>
      </w:r>
      <w:r w:rsidRPr="006B4888">
        <w:t xml:space="preserve"> </w:t>
      </w:r>
      <w:r>
        <w:t>L.A.M</w:t>
      </w:r>
      <w:r w:rsidRPr="006B4888">
        <w:t>.,</w:t>
      </w:r>
      <w:r>
        <w:t xml:space="preserve"> </w:t>
      </w:r>
      <w:r w:rsidRPr="006B4888">
        <w:t>20</w:t>
      </w:r>
      <w:r>
        <w:t>23</w:t>
      </w:r>
      <w:r w:rsidRPr="006B4888">
        <w:t xml:space="preserve">, </w:t>
      </w:r>
      <w:r w:rsidRPr="00F642CC">
        <w:t>Conceptual process and surrogate optimization of acrylonitrile production from glycerol via green propylene</w:t>
      </w:r>
      <w:r w:rsidRPr="006B4888">
        <w:t xml:space="preserve">, </w:t>
      </w:r>
      <w:r w:rsidRPr="00F642CC">
        <w:t>Brazilian Journal of Chemical Engineering</w:t>
      </w:r>
      <w:r w:rsidRPr="006B4888">
        <w:t xml:space="preserve">, </w:t>
      </w:r>
      <w:r>
        <w:t>41</w:t>
      </w:r>
      <w:r w:rsidRPr="006B4888">
        <w:t xml:space="preserve">, </w:t>
      </w:r>
      <w:r>
        <w:t>901</w:t>
      </w:r>
      <w:r w:rsidRPr="006B4888">
        <w:t>–</w:t>
      </w:r>
      <w:r>
        <w:t>910.</w:t>
      </w:r>
    </w:p>
    <w:p w14:paraId="371890D6" w14:textId="77777777" w:rsidR="00634965" w:rsidRDefault="00634965" w:rsidP="00C24AF1">
      <w:pPr>
        <w:pStyle w:val="CETReferencetext"/>
      </w:pPr>
      <w:r w:rsidRPr="00634965">
        <w:t>Gujar J. P., Verma A., Modhera B., 2025, Optimizing glycerol conversion to hydrogen: A critical review of catalytic reforming processes and catalyst design strategies, International Journal of Hydrogen Energy, 109, 823–850.</w:t>
      </w:r>
    </w:p>
    <w:p w14:paraId="447929E6" w14:textId="77777777" w:rsidR="000436FA" w:rsidRDefault="000436FA" w:rsidP="00C24AF1">
      <w:pPr>
        <w:pStyle w:val="CETReferencetext"/>
      </w:pPr>
      <w:r w:rsidRPr="000436FA">
        <w:t>IMARC Group</w:t>
      </w:r>
      <w:r w:rsidR="00895BF1">
        <w:t xml:space="preserve">, </w:t>
      </w:r>
      <w:r w:rsidRPr="000436FA">
        <w:t>2025</w:t>
      </w:r>
      <w:r w:rsidR="00A86FC0">
        <w:t>a</w:t>
      </w:r>
      <w:r w:rsidR="00895BF1">
        <w:t>,</w:t>
      </w:r>
      <w:r w:rsidRPr="000436FA">
        <w:t xml:space="preserve"> Lactic Acid Pricing Report: Market Trends, Share, Size, Growth, Opportunity and Forecast 2025–2030 &lt;imarcgroup.com/lactic-acid-pricing-report&gt; accessed 04.12.2025.</w:t>
      </w:r>
    </w:p>
    <w:p w14:paraId="77493352" w14:textId="77777777" w:rsidR="000436FA" w:rsidRDefault="000436FA" w:rsidP="00C24AF1">
      <w:pPr>
        <w:pStyle w:val="CETReferencetext"/>
      </w:pPr>
      <w:r w:rsidRPr="000436FA">
        <w:t>IMARC Group</w:t>
      </w:r>
      <w:r w:rsidR="00895BF1">
        <w:t xml:space="preserve">, </w:t>
      </w:r>
      <w:r w:rsidRPr="000436FA">
        <w:t>2025</w:t>
      </w:r>
      <w:r w:rsidR="00A86FC0">
        <w:t>b</w:t>
      </w:r>
      <w:r w:rsidR="00895BF1">
        <w:t>,</w:t>
      </w:r>
      <w:r w:rsidRPr="000436FA">
        <w:t xml:space="preserve"> Propylene Glycol Pricing Report: Market Trends, Share, Size, Growth, Opportunity and Forecast 2025–2030 &lt;imarcgroup.com/propylene-glycol-pricing-report&gt; accessed 05.12.2025.</w:t>
      </w:r>
    </w:p>
    <w:p w14:paraId="4E42B7AA" w14:textId="77777777" w:rsidR="000436FA" w:rsidRDefault="000436FA" w:rsidP="00C24AF1">
      <w:pPr>
        <w:pStyle w:val="CETReferencetext"/>
      </w:pPr>
      <w:r w:rsidRPr="000436FA">
        <w:t>IMARC Group</w:t>
      </w:r>
      <w:r w:rsidR="00895BF1">
        <w:t xml:space="preserve">, </w:t>
      </w:r>
      <w:r w:rsidRPr="000436FA">
        <w:t>2025</w:t>
      </w:r>
      <w:r w:rsidR="00A86FC0">
        <w:t>c</w:t>
      </w:r>
      <w:r w:rsidR="00895BF1">
        <w:t>,</w:t>
      </w:r>
      <w:r w:rsidRPr="000436FA">
        <w:t xml:space="preserve"> Acetone Pricing Report: Market Trends, Share, Size, Growth, Opportunity and Forecast 2025–2030. &lt;imarcgroup.com/acetone-pricing-report&gt;</w:t>
      </w:r>
      <w:r>
        <w:t xml:space="preserve"> </w:t>
      </w:r>
      <w:r w:rsidRPr="000436FA">
        <w:t>accessed 05.12.2025.</w:t>
      </w:r>
    </w:p>
    <w:p w14:paraId="708CDDBB" w14:textId="77777777" w:rsidR="000436FA" w:rsidRDefault="000436FA" w:rsidP="00C24AF1">
      <w:pPr>
        <w:pStyle w:val="CETReferencetext"/>
      </w:pPr>
      <w:r w:rsidRPr="000436FA">
        <w:t>IMARC Group</w:t>
      </w:r>
      <w:r w:rsidR="00895BF1">
        <w:t xml:space="preserve">, </w:t>
      </w:r>
      <w:r w:rsidRPr="000436FA">
        <w:t>2025</w:t>
      </w:r>
      <w:r w:rsidR="00A86FC0">
        <w:t>d</w:t>
      </w:r>
      <w:r w:rsidR="00895BF1">
        <w:t>,</w:t>
      </w:r>
      <w:r w:rsidRPr="000436FA">
        <w:t xml:space="preserve"> Isopropyl Alcohol Pricing Report: Market Trends, Share, Size, Growth, Opportunity and Forecast 2025–2030. &lt;imarcgroup.com/isopropyl-alcohol-pricing-report&gt; accessed 05.12.2025.</w:t>
      </w:r>
    </w:p>
    <w:p w14:paraId="67233B21" w14:textId="77777777" w:rsidR="000436FA" w:rsidRDefault="000436FA" w:rsidP="00C24AF1">
      <w:pPr>
        <w:pStyle w:val="CETReferencetext"/>
      </w:pPr>
      <w:r w:rsidRPr="000436FA">
        <w:t>IMARC Group</w:t>
      </w:r>
      <w:r w:rsidR="00895BF1">
        <w:t xml:space="preserve">, </w:t>
      </w:r>
      <w:r w:rsidRPr="000436FA">
        <w:t>2025</w:t>
      </w:r>
      <w:r w:rsidR="00A86FC0">
        <w:t>e</w:t>
      </w:r>
      <w:r w:rsidR="00895BF1">
        <w:t>,</w:t>
      </w:r>
      <w:r w:rsidRPr="000436FA">
        <w:t xml:space="preserve"> Acrylic Acid Pricing Report: Market Trends, Share, Size, Growth, Opportunity and Forecast 2025–2030. &lt;imarcgroup.com/acrylic-acid-pricing-report&gt; accessed 05.12.2025.</w:t>
      </w:r>
    </w:p>
    <w:p w14:paraId="4DA045EB" w14:textId="77777777" w:rsidR="00D443B8" w:rsidRPr="00955574" w:rsidRDefault="00D443B8" w:rsidP="00C24AF1">
      <w:pPr>
        <w:pStyle w:val="CETReferencetext"/>
      </w:pPr>
      <w:r w:rsidRPr="00955574">
        <w:t>Ishaq H., Dincer I., Crawford C., 2022, A review on hydrogen production and utilization: Challenges and opportunities, International Journal of Hydrogen Energy, 47, 26238–26264.</w:t>
      </w:r>
    </w:p>
    <w:p w14:paraId="18A7158D" w14:textId="77777777" w:rsidR="00D443B8" w:rsidRPr="00B57B36" w:rsidRDefault="00D443B8" w:rsidP="00C24AF1">
      <w:pPr>
        <w:pStyle w:val="CETReferencetext"/>
      </w:pPr>
      <w:r w:rsidRPr="00955574">
        <w:t>Koranian P., Huang Q., Dalai A.K., Sammynaiken R., 2022, Chemicals production from glycerol through heterogeneous catalysis: A review, Catalysts, 12, 897</w:t>
      </w:r>
      <w:r w:rsidRPr="00D443B8">
        <w:t>.</w:t>
      </w:r>
    </w:p>
    <w:p w14:paraId="5CF27925" w14:textId="77777777" w:rsidR="000436FA" w:rsidRDefault="000436FA" w:rsidP="00C24AF1">
      <w:pPr>
        <w:pStyle w:val="CETReferencetext"/>
      </w:pPr>
      <w:r w:rsidRPr="000436FA">
        <w:t>Khor S. C., Jusoh M., Zakaria Z.Y., 2025, Hydrogen production from steam and dry reforming of methane-ethane-glycerol: A thermodynamic comparative analysis, Chemical Engineering Research and Design, 180, 178–189.</w:t>
      </w:r>
    </w:p>
    <w:p w14:paraId="5D1E5FC0" w14:textId="77777777" w:rsidR="00D443B8" w:rsidRPr="00955574" w:rsidRDefault="00D443B8" w:rsidP="00C24AF1">
      <w:pPr>
        <w:pStyle w:val="CETReferencetext"/>
      </w:pPr>
      <w:r w:rsidRPr="00955574">
        <w:t>Lin Y.C., 2013, Catalytic valorization of glycerol to hydrogen and syngas, International Journal of Hydrogen Energy, 38, 2678–2700.</w:t>
      </w:r>
    </w:p>
    <w:p w14:paraId="714C2462" w14:textId="77777777" w:rsidR="007C6D7D" w:rsidRPr="00955574" w:rsidRDefault="007C6D7D" w:rsidP="00C24AF1">
      <w:pPr>
        <w:pStyle w:val="CETReferencetext"/>
      </w:pPr>
      <w:r w:rsidRPr="00955574">
        <w:t>Methanex</w:t>
      </w:r>
      <w:r w:rsidR="00662A70" w:rsidRPr="00955574">
        <w:t xml:space="preserve">, </w:t>
      </w:r>
      <w:r w:rsidRPr="00955574">
        <w:t>2025</w:t>
      </w:r>
      <w:r w:rsidR="00662A70" w:rsidRPr="00955574">
        <w:t>,</w:t>
      </w:r>
      <w:r w:rsidRPr="00955574">
        <w:t xml:space="preserve"> About Methanol – Pricing &lt;methanex.com/our-products/about-methanol/pricing/&gt; accessed 05.12.2025.</w:t>
      </w:r>
    </w:p>
    <w:p w14:paraId="111CC96D" w14:textId="77777777" w:rsidR="001D096D" w:rsidRPr="00955574" w:rsidRDefault="001D096D" w:rsidP="00C24AF1">
      <w:pPr>
        <w:pStyle w:val="CETReferencetext"/>
      </w:pPr>
      <w:r w:rsidRPr="00955574">
        <w:t>Odenweller A., Ueckerdt F., 2025, The green hydrogen ambition and implementation gap, Nature Energy, 10, 110–123.</w:t>
      </w:r>
    </w:p>
    <w:p w14:paraId="18681DF6" w14:textId="77777777" w:rsidR="000436FA" w:rsidRPr="00955574" w:rsidRDefault="007C6D7D" w:rsidP="00C24AF1">
      <w:pPr>
        <w:pStyle w:val="CETReferencetext"/>
      </w:pPr>
      <w:r w:rsidRPr="00955574">
        <w:t>P</w:t>
      </w:r>
      <w:r w:rsidR="000436FA" w:rsidRPr="00955574">
        <w:t>Market Research</w:t>
      </w:r>
      <w:r w:rsidR="00662A70" w:rsidRPr="00955574">
        <w:t xml:space="preserve">, </w:t>
      </w:r>
      <w:r w:rsidR="000436FA" w:rsidRPr="00955574">
        <w:t>2025</w:t>
      </w:r>
      <w:r w:rsidR="00662A70" w:rsidRPr="00955574">
        <w:t>,</w:t>
      </w:r>
      <w:r w:rsidR="000436FA" w:rsidRPr="00955574">
        <w:t xml:space="preserve"> Glycolic Acid Market Analysis, Trends, Growth, Share and Forecast 2025–2032 &lt;pmarketresearch.com/glycolic-acid-market-analysis/&gt; accessed 04.12.2025.</w:t>
      </w:r>
    </w:p>
    <w:p w14:paraId="6D522528" w14:textId="77777777" w:rsidR="002B1293" w:rsidRPr="00955574" w:rsidRDefault="002B1293" w:rsidP="00C24AF1">
      <w:pPr>
        <w:pStyle w:val="CETReferencetext"/>
      </w:pPr>
      <w:r w:rsidRPr="00955574">
        <w:t>Rastegari H., Jazini H., Ghaziaskar H.S., Yalpani M., 2018, Applications of Biodiesel By-products, Chapter in: Tabatabaei M., Aghbashlo M. (Ed.), Biodiesel, Biofuel and Biorefinery Technologies, Vol 8, Springer, Cham, 101–125.</w:t>
      </w:r>
    </w:p>
    <w:p w14:paraId="0368519E" w14:textId="77777777" w:rsidR="007C6D7D" w:rsidRPr="00955574" w:rsidRDefault="007C6D7D" w:rsidP="00C24AF1">
      <w:pPr>
        <w:pStyle w:val="CETReferencetext"/>
      </w:pPr>
      <w:r w:rsidRPr="00955574">
        <w:t>Sandid A., Spallina V., Esteban J., 2024, Glycerol to value-added chemicals: State of the art and advances in reaction engineering and kinetic modelling, Fuel Processing Technology, 253, 108008.</w:t>
      </w:r>
    </w:p>
    <w:p w14:paraId="540FC508" w14:textId="77777777" w:rsidR="007C6D7D" w:rsidRPr="00955574" w:rsidRDefault="007C6D7D" w:rsidP="00C24AF1">
      <w:pPr>
        <w:pStyle w:val="CETReferencetext"/>
      </w:pPr>
      <w:r w:rsidRPr="00955574">
        <w:t>Silva C.C.G., Silva, L.H.S., Guirardello R., 2025, Synthesis of global reaction routes using thermodynamic evaluation. Chemical Engineering Transactions, 117, 865–870.</w:t>
      </w:r>
    </w:p>
    <w:p w14:paraId="7C06AB4E" w14:textId="77777777" w:rsidR="007C6D7D" w:rsidRPr="00955574" w:rsidRDefault="007C6D7D" w:rsidP="00C24AF1">
      <w:pPr>
        <w:pStyle w:val="CETReferencetext"/>
      </w:pPr>
      <w:r w:rsidRPr="00955574">
        <w:t>Sunsirs</w:t>
      </w:r>
      <w:r w:rsidR="00662A70" w:rsidRPr="00955574">
        <w:t xml:space="preserve">, </w:t>
      </w:r>
      <w:r w:rsidRPr="00955574">
        <w:t>2025</w:t>
      </w:r>
      <w:r w:rsidR="00662A70" w:rsidRPr="00955574">
        <w:t>,</w:t>
      </w:r>
      <w:r w:rsidRPr="00955574">
        <w:t xml:space="preserve"> The Price of Formic Acid Will Mainly Be Stable at the Beginning of 2025</w:t>
      </w:r>
      <w:r w:rsidR="00662A70" w:rsidRPr="00955574">
        <w:t xml:space="preserve"> </w:t>
      </w:r>
      <w:r w:rsidRPr="00955574">
        <w:t>&lt;sunsirs.com/uk/detail_news-22242.html&gt; accessed 04.12.2025.</w:t>
      </w:r>
    </w:p>
    <w:p w14:paraId="26E6C2A7" w14:textId="77777777" w:rsidR="007C6D7D" w:rsidRPr="00955574" w:rsidRDefault="007C6D7D" w:rsidP="00C24AF1">
      <w:pPr>
        <w:pStyle w:val="CETReferencetext"/>
      </w:pPr>
      <w:r w:rsidRPr="00955574">
        <w:t>Sunsirs</w:t>
      </w:r>
      <w:r w:rsidR="00662A70" w:rsidRPr="00955574">
        <w:t xml:space="preserve">, </w:t>
      </w:r>
      <w:r w:rsidRPr="00955574">
        <w:t>2022</w:t>
      </w:r>
      <w:r w:rsidR="00662A70" w:rsidRPr="00955574">
        <w:t>,</w:t>
      </w:r>
      <w:r w:rsidRPr="00955574">
        <w:t xml:space="preserve"> Daily Review on Ethylene Glycol &lt;sunsirs.com/uk/detail_news-7657.html&gt; accessed 06.12.2025.</w:t>
      </w:r>
    </w:p>
    <w:p w14:paraId="7DC6491F" w14:textId="77777777" w:rsidR="000436FA" w:rsidRPr="00955574" w:rsidRDefault="007C6D7D" w:rsidP="00C24AF1">
      <w:pPr>
        <w:pStyle w:val="CETReferencetext"/>
      </w:pPr>
      <w:r w:rsidRPr="00955574">
        <w:t>Statista</w:t>
      </w:r>
      <w:r w:rsidR="00662A70" w:rsidRPr="00955574">
        <w:t xml:space="preserve">, </w:t>
      </w:r>
      <w:r w:rsidRPr="00955574">
        <w:t>2025</w:t>
      </w:r>
      <w:r w:rsidR="00A86FC0" w:rsidRPr="00955574">
        <w:t>a</w:t>
      </w:r>
      <w:r w:rsidR="00662A70" w:rsidRPr="00955574">
        <w:t>,</w:t>
      </w:r>
      <w:r w:rsidRPr="00955574">
        <w:t xml:space="preserve"> Global propylene production capacity from 2015 to 2024 (in million metric tons) &lt;statista.com/statistics/1065879/global-propylene-production-capacity/&gt; accessed 05.12.2025.</w:t>
      </w:r>
    </w:p>
    <w:p w14:paraId="3AF01CE7" w14:textId="77777777" w:rsidR="007C6D7D" w:rsidRPr="00955574" w:rsidRDefault="007C6D7D" w:rsidP="00C24AF1">
      <w:pPr>
        <w:pStyle w:val="CETReferencetext"/>
      </w:pPr>
      <w:r w:rsidRPr="00955574">
        <w:t>Statista</w:t>
      </w:r>
      <w:r w:rsidR="00662A70" w:rsidRPr="00955574">
        <w:t xml:space="preserve">, </w:t>
      </w:r>
      <w:r w:rsidRPr="00955574">
        <w:t>2025</w:t>
      </w:r>
      <w:r w:rsidR="00A86FC0" w:rsidRPr="00955574">
        <w:t>b</w:t>
      </w:r>
      <w:r w:rsidR="00662A70" w:rsidRPr="00955574">
        <w:t>,</w:t>
      </w:r>
      <w:r w:rsidRPr="00955574">
        <w:t xml:space="preserve"> Average price of Acrylonitrile (ACN) in China from 2019 to 2024 &lt;statista.com/statistics/1441223/china-price-of-acrylonitrile/&gt; accessed 05.12.2025.</w:t>
      </w:r>
    </w:p>
    <w:p w14:paraId="2891A076" w14:textId="77777777" w:rsidR="00CA7742" w:rsidRDefault="00CA7742" w:rsidP="00C24AF1">
      <w:pPr>
        <w:pStyle w:val="CETReferencetext"/>
      </w:pPr>
      <w:r w:rsidRPr="00955574">
        <w:t>Tavera Ruiz C.P., Dumeignil F., Capron M., 2021, Catalytic production of glycolic acid from glycerol oxidation: An optimization using response surface methodology, Catalysts, 11, 257.</w:t>
      </w:r>
    </w:p>
    <w:p w14:paraId="75C5A0D6" w14:textId="77777777" w:rsidR="007C6D7D" w:rsidRDefault="007C6D7D" w:rsidP="00662A70">
      <w:pPr>
        <w:pStyle w:val="CETReferencetext"/>
        <w:ind w:left="0" w:firstLine="0"/>
      </w:pPr>
      <w:r w:rsidRPr="007C6D7D">
        <w:t>U.S. Energy Information Administration</w:t>
      </w:r>
      <w:r w:rsidR="00662A70">
        <w:t xml:space="preserve">, </w:t>
      </w:r>
      <w:r w:rsidRPr="007C6D7D">
        <w:t>2025</w:t>
      </w:r>
      <w:r w:rsidR="00662A70">
        <w:t>,</w:t>
      </w:r>
      <w:r w:rsidRPr="007C6D7D">
        <w:t xml:space="preserve"> Weekly All Grades All Formulations Retail Gasoline Prices &lt;eia.gov/dnav/pet/hist/LeafHandler.ashx?n=PET&amp;s=W_EPLLPA_PWR_NUS_DPG&amp;f=W&gt;accessed 05.12.2025.</w:t>
      </w:r>
    </w:p>
    <w:p w14:paraId="39B82701" w14:textId="77777777" w:rsidR="007C6D7D" w:rsidRPr="00955574" w:rsidRDefault="007C6D7D" w:rsidP="00C24AF1">
      <w:pPr>
        <w:pStyle w:val="CETReferencetext"/>
      </w:pPr>
      <w:r w:rsidRPr="007C6D7D">
        <w:t>Vargas</w:t>
      </w:r>
      <w:r w:rsidRPr="00955574">
        <w:t>, B.J., de Menezes Vicenti, J.R., da Silva, E.D., Pinto, A.H., Gorup, L.F., da Rosa, C.A., Mortola, V.B., 2023, Glycerol valorization: The effect of Cu on the HZSM-5 catalyst structure and increased selectivity towards allyl alcohol. Chemical Engineering Research and Design, 196, 617–631.</w:t>
      </w:r>
    </w:p>
    <w:p w14:paraId="68BD358A" w14:textId="77777777" w:rsidR="004D4369" w:rsidRPr="00955574" w:rsidRDefault="004D4369" w:rsidP="009A4717">
      <w:pPr>
        <w:pStyle w:val="CETReferencetext"/>
      </w:pPr>
      <w:r w:rsidRPr="00955574">
        <w:t>Venkateshappa B., Bisarya A., Nandi P.G., Dhole S., Kumar A., 2024, Production of lactic acid via catalytic transfer dehydrogenation of glycerol catalyzed by base metal salt ferrous chloride and its NNN pincer-iron complexes, Inorganic Chemistry, 63, 15294–15310.</w:t>
      </w:r>
    </w:p>
    <w:p w14:paraId="3DBBE9B7" w14:textId="77777777" w:rsidR="007C6D7D" w:rsidRDefault="007C6D7D" w:rsidP="00C24AF1">
      <w:pPr>
        <w:pStyle w:val="CETReferencetext"/>
      </w:pPr>
      <w:r w:rsidRPr="00955574">
        <w:t>Xu J., Zhao Y., Xu H., Zhang H., Yu B., Hao L., Liu Z., 2014</w:t>
      </w:r>
      <w:r w:rsidRPr="007C6D7D">
        <w:t>, Selective oxidation of glycerol to formic acid catalyzed by Ru(OH)</w:t>
      </w:r>
      <w:r w:rsidRPr="007C6D7D">
        <w:rPr>
          <w:rFonts w:ascii="Cambria Math" w:hAnsi="Cambria Math" w:cs="Cambria Math"/>
        </w:rPr>
        <w:t>₄</w:t>
      </w:r>
      <w:r w:rsidRPr="007C6D7D">
        <w:t>/r-GO in the presence of FeCl</w:t>
      </w:r>
      <w:r w:rsidRPr="007C6D7D">
        <w:rPr>
          <w:rFonts w:ascii="Cambria Math" w:hAnsi="Cambria Math" w:cs="Cambria Math"/>
        </w:rPr>
        <w:t>₃</w:t>
      </w:r>
      <w:r w:rsidRPr="007C6D7D">
        <w:t>, Applied Catalysis B: Environmental, 155, 267</w:t>
      </w:r>
      <w:r w:rsidRPr="007C6D7D">
        <w:rPr>
          <w:rFonts w:cs="Arial"/>
        </w:rPr>
        <w:t>–</w:t>
      </w:r>
      <w:r w:rsidRPr="007C6D7D">
        <w:t>273.</w:t>
      </w:r>
    </w:p>
    <w:sectPr w:rsidR="007C6D7D"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E0F4" w14:textId="77777777" w:rsidR="00C53DE0" w:rsidRDefault="00C53DE0" w:rsidP="004F5E36">
      <w:r>
        <w:separator/>
      </w:r>
    </w:p>
  </w:endnote>
  <w:endnote w:type="continuationSeparator" w:id="0">
    <w:p w14:paraId="36662E50" w14:textId="77777777" w:rsidR="00C53DE0" w:rsidRDefault="00C53DE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D26C" w14:textId="77777777" w:rsidR="00C53DE0" w:rsidRDefault="00C53DE0" w:rsidP="004F5E36">
      <w:r>
        <w:separator/>
      </w:r>
    </w:p>
  </w:footnote>
  <w:footnote w:type="continuationSeparator" w:id="0">
    <w:p w14:paraId="57B57AA1" w14:textId="77777777" w:rsidR="00C53DE0" w:rsidRDefault="00C53DE0"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0852757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6029272">
    <w:abstractNumId w:val="10"/>
  </w:num>
  <w:num w:numId="2" w16cid:durableId="711081716">
    <w:abstractNumId w:val="8"/>
  </w:num>
  <w:num w:numId="3" w16cid:durableId="566769056">
    <w:abstractNumId w:val="3"/>
  </w:num>
  <w:num w:numId="4" w16cid:durableId="1945533214">
    <w:abstractNumId w:val="2"/>
  </w:num>
  <w:num w:numId="5" w16cid:durableId="1305551315">
    <w:abstractNumId w:val="1"/>
  </w:num>
  <w:num w:numId="6" w16cid:durableId="155803149">
    <w:abstractNumId w:val="0"/>
  </w:num>
  <w:num w:numId="7" w16cid:durableId="424226425">
    <w:abstractNumId w:val="9"/>
  </w:num>
  <w:num w:numId="8" w16cid:durableId="1286765733">
    <w:abstractNumId w:val="7"/>
  </w:num>
  <w:num w:numId="9" w16cid:durableId="2039623293">
    <w:abstractNumId w:val="6"/>
  </w:num>
  <w:num w:numId="10" w16cid:durableId="82068385">
    <w:abstractNumId w:val="5"/>
  </w:num>
  <w:num w:numId="11" w16cid:durableId="1674259601">
    <w:abstractNumId w:val="4"/>
  </w:num>
  <w:num w:numId="12" w16cid:durableId="423259082">
    <w:abstractNumId w:val="17"/>
  </w:num>
  <w:num w:numId="13" w16cid:durableId="1409573839">
    <w:abstractNumId w:val="12"/>
  </w:num>
  <w:num w:numId="14" w16cid:durableId="1409956311">
    <w:abstractNumId w:val="18"/>
  </w:num>
  <w:num w:numId="15" w16cid:durableId="716512496">
    <w:abstractNumId w:val="20"/>
  </w:num>
  <w:num w:numId="16" w16cid:durableId="1613516672">
    <w:abstractNumId w:val="19"/>
  </w:num>
  <w:num w:numId="17" w16cid:durableId="745035642">
    <w:abstractNumId w:val="11"/>
  </w:num>
  <w:num w:numId="18" w16cid:durableId="64618521">
    <w:abstractNumId w:val="12"/>
    <w:lvlOverride w:ilvl="0">
      <w:startOverride w:val="1"/>
    </w:lvlOverride>
  </w:num>
  <w:num w:numId="19" w16cid:durableId="2030255454">
    <w:abstractNumId w:val="16"/>
  </w:num>
  <w:num w:numId="20" w16cid:durableId="850140624">
    <w:abstractNumId w:val="15"/>
  </w:num>
  <w:num w:numId="21" w16cid:durableId="1437366214">
    <w:abstractNumId w:val="14"/>
  </w:num>
  <w:num w:numId="22" w16cid:durableId="60150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538"/>
    <w:rsid w:val="000052FB"/>
    <w:rsid w:val="00005A19"/>
    <w:rsid w:val="00006E6A"/>
    <w:rsid w:val="000117CB"/>
    <w:rsid w:val="0003148D"/>
    <w:rsid w:val="00031EEC"/>
    <w:rsid w:val="000362F2"/>
    <w:rsid w:val="000436FA"/>
    <w:rsid w:val="00051566"/>
    <w:rsid w:val="00054288"/>
    <w:rsid w:val="000562A9"/>
    <w:rsid w:val="00062A9A"/>
    <w:rsid w:val="00064A23"/>
    <w:rsid w:val="00065058"/>
    <w:rsid w:val="00065BCD"/>
    <w:rsid w:val="000778BA"/>
    <w:rsid w:val="00086886"/>
    <w:rsid w:val="00086C39"/>
    <w:rsid w:val="00093540"/>
    <w:rsid w:val="0009566B"/>
    <w:rsid w:val="000A03B2"/>
    <w:rsid w:val="000A27CC"/>
    <w:rsid w:val="000B28AC"/>
    <w:rsid w:val="000D0268"/>
    <w:rsid w:val="000D34BE"/>
    <w:rsid w:val="000E102F"/>
    <w:rsid w:val="000E36F1"/>
    <w:rsid w:val="000E3A73"/>
    <w:rsid w:val="000E414A"/>
    <w:rsid w:val="000F093C"/>
    <w:rsid w:val="000F307F"/>
    <w:rsid w:val="000F4535"/>
    <w:rsid w:val="000F787B"/>
    <w:rsid w:val="00106B8B"/>
    <w:rsid w:val="0012091F"/>
    <w:rsid w:val="00124059"/>
    <w:rsid w:val="00126BC2"/>
    <w:rsid w:val="001308B6"/>
    <w:rsid w:val="0013121F"/>
    <w:rsid w:val="00131FE6"/>
    <w:rsid w:val="0013263F"/>
    <w:rsid w:val="001331DF"/>
    <w:rsid w:val="00134DE4"/>
    <w:rsid w:val="0013700E"/>
    <w:rsid w:val="0014034D"/>
    <w:rsid w:val="00144D16"/>
    <w:rsid w:val="00150E59"/>
    <w:rsid w:val="00152DE3"/>
    <w:rsid w:val="00164CF9"/>
    <w:rsid w:val="00164D93"/>
    <w:rsid w:val="001667A6"/>
    <w:rsid w:val="00167A8D"/>
    <w:rsid w:val="00171F9E"/>
    <w:rsid w:val="001804A3"/>
    <w:rsid w:val="00184AD6"/>
    <w:rsid w:val="001A4AF7"/>
    <w:rsid w:val="001B0349"/>
    <w:rsid w:val="001B1E93"/>
    <w:rsid w:val="001B65C1"/>
    <w:rsid w:val="001C3E00"/>
    <w:rsid w:val="001C684B"/>
    <w:rsid w:val="001D096D"/>
    <w:rsid w:val="001D0CFB"/>
    <w:rsid w:val="001D21AF"/>
    <w:rsid w:val="001D4942"/>
    <w:rsid w:val="001D53FC"/>
    <w:rsid w:val="001D7B3E"/>
    <w:rsid w:val="001E07E2"/>
    <w:rsid w:val="001E5C34"/>
    <w:rsid w:val="001E5D9E"/>
    <w:rsid w:val="001F180C"/>
    <w:rsid w:val="001F42A5"/>
    <w:rsid w:val="001F7B9D"/>
    <w:rsid w:val="001F7F35"/>
    <w:rsid w:val="00201C93"/>
    <w:rsid w:val="002063AE"/>
    <w:rsid w:val="002224B4"/>
    <w:rsid w:val="002300FA"/>
    <w:rsid w:val="002447EF"/>
    <w:rsid w:val="00245342"/>
    <w:rsid w:val="00245686"/>
    <w:rsid w:val="00251550"/>
    <w:rsid w:val="00263B05"/>
    <w:rsid w:val="002660C0"/>
    <w:rsid w:val="00267753"/>
    <w:rsid w:val="0027221A"/>
    <w:rsid w:val="00275B61"/>
    <w:rsid w:val="00280FAF"/>
    <w:rsid w:val="00282656"/>
    <w:rsid w:val="00291F42"/>
    <w:rsid w:val="00296B83"/>
    <w:rsid w:val="002975CB"/>
    <w:rsid w:val="002A7141"/>
    <w:rsid w:val="002B1293"/>
    <w:rsid w:val="002B4015"/>
    <w:rsid w:val="002B78CE"/>
    <w:rsid w:val="002C2FB6"/>
    <w:rsid w:val="002C6731"/>
    <w:rsid w:val="002D72C7"/>
    <w:rsid w:val="002E093A"/>
    <w:rsid w:val="002E5FA7"/>
    <w:rsid w:val="002F263A"/>
    <w:rsid w:val="002F3309"/>
    <w:rsid w:val="002F439C"/>
    <w:rsid w:val="003008CE"/>
    <w:rsid w:val="003009B7"/>
    <w:rsid w:val="00300E56"/>
    <w:rsid w:val="0030152C"/>
    <w:rsid w:val="0030469C"/>
    <w:rsid w:val="0031269A"/>
    <w:rsid w:val="00315AFC"/>
    <w:rsid w:val="00321CA6"/>
    <w:rsid w:val="00322BF7"/>
    <w:rsid w:val="00322EFE"/>
    <w:rsid w:val="00323763"/>
    <w:rsid w:val="00323C5F"/>
    <w:rsid w:val="00334C09"/>
    <w:rsid w:val="003534E2"/>
    <w:rsid w:val="003723D4"/>
    <w:rsid w:val="00374F0E"/>
    <w:rsid w:val="00381905"/>
    <w:rsid w:val="00384CC8"/>
    <w:rsid w:val="003871FD"/>
    <w:rsid w:val="00390DEB"/>
    <w:rsid w:val="003A1E30"/>
    <w:rsid w:val="003A2829"/>
    <w:rsid w:val="003A7D1C"/>
    <w:rsid w:val="003B304B"/>
    <w:rsid w:val="003B3146"/>
    <w:rsid w:val="003D34E4"/>
    <w:rsid w:val="003E7EBE"/>
    <w:rsid w:val="003F015E"/>
    <w:rsid w:val="003F08EA"/>
    <w:rsid w:val="00400275"/>
    <w:rsid w:val="00400414"/>
    <w:rsid w:val="0041029E"/>
    <w:rsid w:val="0041446B"/>
    <w:rsid w:val="00431D67"/>
    <w:rsid w:val="0044071E"/>
    <w:rsid w:val="0044329C"/>
    <w:rsid w:val="0044608F"/>
    <w:rsid w:val="00453E24"/>
    <w:rsid w:val="00456B6E"/>
    <w:rsid w:val="00457456"/>
    <w:rsid w:val="004577FE"/>
    <w:rsid w:val="00457B9C"/>
    <w:rsid w:val="0046164A"/>
    <w:rsid w:val="004628D2"/>
    <w:rsid w:val="00462DCD"/>
    <w:rsid w:val="004638F8"/>
    <w:rsid w:val="004648AD"/>
    <w:rsid w:val="004703A9"/>
    <w:rsid w:val="00472136"/>
    <w:rsid w:val="004760DE"/>
    <w:rsid w:val="004763D7"/>
    <w:rsid w:val="00484006"/>
    <w:rsid w:val="00490331"/>
    <w:rsid w:val="004A004E"/>
    <w:rsid w:val="004A24CF"/>
    <w:rsid w:val="004C0503"/>
    <w:rsid w:val="004C3D1D"/>
    <w:rsid w:val="004C3D84"/>
    <w:rsid w:val="004C7913"/>
    <w:rsid w:val="004D4369"/>
    <w:rsid w:val="004D482F"/>
    <w:rsid w:val="004E1FD7"/>
    <w:rsid w:val="004E4DD6"/>
    <w:rsid w:val="004E6179"/>
    <w:rsid w:val="004F5E36"/>
    <w:rsid w:val="00501BC2"/>
    <w:rsid w:val="00507B47"/>
    <w:rsid w:val="00507BEF"/>
    <w:rsid w:val="00507CC9"/>
    <w:rsid w:val="005119A5"/>
    <w:rsid w:val="00512BA4"/>
    <w:rsid w:val="005278B7"/>
    <w:rsid w:val="00527A1E"/>
    <w:rsid w:val="00532016"/>
    <w:rsid w:val="005346C8"/>
    <w:rsid w:val="00543E7D"/>
    <w:rsid w:val="00547A68"/>
    <w:rsid w:val="00552CE7"/>
    <w:rsid w:val="005531C9"/>
    <w:rsid w:val="00554EE9"/>
    <w:rsid w:val="00557E00"/>
    <w:rsid w:val="00562A71"/>
    <w:rsid w:val="00570C43"/>
    <w:rsid w:val="00573FAC"/>
    <w:rsid w:val="00580B6E"/>
    <w:rsid w:val="00584A0A"/>
    <w:rsid w:val="005852E3"/>
    <w:rsid w:val="005B2110"/>
    <w:rsid w:val="005B61E6"/>
    <w:rsid w:val="005C0BA0"/>
    <w:rsid w:val="005C77E1"/>
    <w:rsid w:val="005D668A"/>
    <w:rsid w:val="005D6A2F"/>
    <w:rsid w:val="005E1A82"/>
    <w:rsid w:val="005E6E08"/>
    <w:rsid w:val="005E794C"/>
    <w:rsid w:val="005F0A28"/>
    <w:rsid w:val="005F0E5E"/>
    <w:rsid w:val="005F361A"/>
    <w:rsid w:val="005F3C8E"/>
    <w:rsid w:val="005F7E89"/>
    <w:rsid w:val="00600535"/>
    <w:rsid w:val="00610CD6"/>
    <w:rsid w:val="00620DEE"/>
    <w:rsid w:val="00621F92"/>
    <w:rsid w:val="0062280A"/>
    <w:rsid w:val="00625639"/>
    <w:rsid w:val="006315AF"/>
    <w:rsid w:val="00631B33"/>
    <w:rsid w:val="00634965"/>
    <w:rsid w:val="0064184D"/>
    <w:rsid w:val="006422CC"/>
    <w:rsid w:val="00660E3E"/>
    <w:rsid w:val="00662A70"/>
    <w:rsid w:val="00662E74"/>
    <w:rsid w:val="00663A44"/>
    <w:rsid w:val="00680C23"/>
    <w:rsid w:val="00681263"/>
    <w:rsid w:val="00681460"/>
    <w:rsid w:val="0068488B"/>
    <w:rsid w:val="00691A11"/>
    <w:rsid w:val="00693766"/>
    <w:rsid w:val="006A3281"/>
    <w:rsid w:val="006B13C7"/>
    <w:rsid w:val="006B42FE"/>
    <w:rsid w:val="006B4888"/>
    <w:rsid w:val="006C2E45"/>
    <w:rsid w:val="006C359C"/>
    <w:rsid w:val="006C5579"/>
    <w:rsid w:val="006C6A0E"/>
    <w:rsid w:val="006C7756"/>
    <w:rsid w:val="006D6E8B"/>
    <w:rsid w:val="006D6FFD"/>
    <w:rsid w:val="006E0912"/>
    <w:rsid w:val="006E2F63"/>
    <w:rsid w:val="006E737D"/>
    <w:rsid w:val="006F0155"/>
    <w:rsid w:val="006F211D"/>
    <w:rsid w:val="006F2620"/>
    <w:rsid w:val="006F2E13"/>
    <w:rsid w:val="006F47C4"/>
    <w:rsid w:val="006F5E93"/>
    <w:rsid w:val="006F669E"/>
    <w:rsid w:val="00707DD1"/>
    <w:rsid w:val="00713973"/>
    <w:rsid w:val="007139BF"/>
    <w:rsid w:val="00717225"/>
    <w:rsid w:val="00720A24"/>
    <w:rsid w:val="00732386"/>
    <w:rsid w:val="0073514D"/>
    <w:rsid w:val="007447F3"/>
    <w:rsid w:val="007457C5"/>
    <w:rsid w:val="00753F0C"/>
    <w:rsid w:val="00754128"/>
    <w:rsid w:val="0075499F"/>
    <w:rsid w:val="00760E10"/>
    <w:rsid w:val="007661C8"/>
    <w:rsid w:val="0077098D"/>
    <w:rsid w:val="007931FA"/>
    <w:rsid w:val="007A4861"/>
    <w:rsid w:val="007A5CEA"/>
    <w:rsid w:val="007A7BBA"/>
    <w:rsid w:val="007B0C50"/>
    <w:rsid w:val="007B48F9"/>
    <w:rsid w:val="007B5BC3"/>
    <w:rsid w:val="007C1A43"/>
    <w:rsid w:val="007C6D7D"/>
    <w:rsid w:val="007D0951"/>
    <w:rsid w:val="007D3423"/>
    <w:rsid w:val="007E3D5B"/>
    <w:rsid w:val="0080013E"/>
    <w:rsid w:val="00805815"/>
    <w:rsid w:val="00813288"/>
    <w:rsid w:val="008168FC"/>
    <w:rsid w:val="00830996"/>
    <w:rsid w:val="008345F1"/>
    <w:rsid w:val="00840B36"/>
    <w:rsid w:val="008444C2"/>
    <w:rsid w:val="00846F9B"/>
    <w:rsid w:val="00865B07"/>
    <w:rsid w:val="008667EA"/>
    <w:rsid w:val="0087228C"/>
    <w:rsid w:val="0087637F"/>
    <w:rsid w:val="008870A8"/>
    <w:rsid w:val="00887A60"/>
    <w:rsid w:val="00892AD5"/>
    <w:rsid w:val="00895BF1"/>
    <w:rsid w:val="008A1512"/>
    <w:rsid w:val="008A18ED"/>
    <w:rsid w:val="008C51CA"/>
    <w:rsid w:val="008D32B9"/>
    <w:rsid w:val="008D433B"/>
    <w:rsid w:val="008D4A16"/>
    <w:rsid w:val="008E4095"/>
    <w:rsid w:val="008E566E"/>
    <w:rsid w:val="008E58F7"/>
    <w:rsid w:val="0090161A"/>
    <w:rsid w:val="00901EB6"/>
    <w:rsid w:val="0090368E"/>
    <w:rsid w:val="00904C62"/>
    <w:rsid w:val="00922BA8"/>
    <w:rsid w:val="00924DAC"/>
    <w:rsid w:val="00927058"/>
    <w:rsid w:val="00935E74"/>
    <w:rsid w:val="00942750"/>
    <w:rsid w:val="009450CE"/>
    <w:rsid w:val="009459BB"/>
    <w:rsid w:val="00947179"/>
    <w:rsid w:val="00950036"/>
    <w:rsid w:val="0095164B"/>
    <w:rsid w:val="00954090"/>
    <w:rsid w:val="00955574"/>
    <w:rsid w:val="009573E7"/>
    <w:rsid w:val="00963E05"/>
    <w:rsid w:val="00964A45"/>
    <w:rsid w:val="00967843"/>
    <w:rsid w:val="00967D54"/>
    <w:rsid w:val="00971028"/>
    <w:rsid w:val="00977D77"/>
    <w:rsid w:val="0098272A"/>
    <w:rsid w:val="0098434E"/>
    <w:rsid w:val="00993B84"/>
    <w:rsid w:val="00996483"/>
    <w:rsid w:val="00996F5A"/>
    <w:rsid w:val="009A4717"/>
    <w:rsid w:val="009B041A"/>
    <w:rsid w:val="009B07BB"/>
    <w:rsid w:val="009B2AB6"/>
    <w:rsid w:val="009C37C3"/>
    <w:rsid w:val="009C7C86"/>
    <w:rsid w:val="009D2FF7"/>
    <w:rsid w:val="009E4B29"/>
    <w:rsid w:val="009E7884"/>
    <w:rsid w:val="009E788A"/>
    <w:rsid w:val="009F04F9"/>
    <w:rsid w:val="009F0E08"/>
    <w:rsid w:val="009F68BF"/>
    <w:rsid w:val="00A04FDE"/>
    <w:rsid w:val="00A152F3"/>
    <w:rsid w:val="00A1763D"/>
    <w:rsid w:val="00A17CEC"/>
    <w:rsid w:val="00A26CEE"/>
    <w:rsid w:val="00A27EF0"/>
    <w:rsid w:val="00A42361"/>
    <w:rsid w:val="00A50B20"/>
    <w:rsid w:val="00A510D4"/>
    <w:rsid w:val="00A51390"/>
    <w:rsid w:val="00A558FA"/>
    <w:rsid w:val="00A60D13"/>
    <w:rsid w:val="00A6137A"/>
    <w:rsid w:val="00A65EBE"/>
    <w:rsid w:val="00A6643D"/>
    <w:rsid w:val="00A714EF"/>
    <w:rsid w:val="00A7223D"/>
    <w:rsid w:val="00A72745"/>
    <w:rsid w:val="00A76EFC"/>
    <w:rsid w:val="00A80D82"/>
    <w:rsid w:val="00A86D26"/>
    <w:rsid w:val="00A86FC0"/>
    <w:rsid w:val="00A87D50"/>
    <w:rsid w:val="00A91010"/>
    <w:rsid w:val="00A97F29"/>
    <w:rsid w:val="00AA1A0F"/>
    <w:rsid w:val="00AA43AF"/>
    <w:rsid w:val="00AA4707"/>
    <w:rsid w:val="00AA702E"/>
    <w:rsid w:val="00AA7D26"/>
    <w:rsid w:val="00AB0964"/>
    <w:rsid w:val="00AB2B3C"/>
    <w:rsid w:val="00AB5011"/>
    <w:rsid w:val="00AC7368"/>
    <w:rsid w:val="00AD16B9"/>
    <w:rsid w:val="00AD44A2"/>
    <w:rsid w:val="00AD77FE"/>
    <w:rsid w:val="00AE377D"/>
    <w:rsid w:val="00AF0EBA"/>
    <w:rsid w:val="00AF26D4"/>
    <w:rsid w:val="00AF46C8"/>
    <w:rsid w:val="00AF6264"/>
    <w:rsid w:val="00B02C8A"/>
    <w:rsid w:val="00B1279C"/>
    <w:rsid w:val="00B177A9"/>
    <w:rsid w:val="00B17FBD"/>
    <w:rsid w:val="00B315A6"/>
    <w:rsid w:val="00B31813"/>
    <w:rsid w:val="00B33365"/>
    <w:rsid w:val="00B57B36"/>
    <w:rsid w:val="00B57E6F"/>
    <w:rsid w:val="00B74447"/>
    <w:rsid w:val="00B77E69"/>
    <w:rsid w:val="00B8686D"/>
    <w:rsid w:val="00B8717A"/>
    <w:rsid w:val="00B9261D"/>
    <w:rsid w:val="00B93F69"/>
    <w:rsid w:val="00BA46DD"/>
    <w:rsid w:val="00BB1A67"/>
    <w:rsid w:val="00BB1DDC"/>
    <w:rsid w:val="00BC30C9"/>
    <w:rsid w:val="00BD077D"/>
    <w:rsid w:val="00BD2BDE"/>
    <w:rsid w:val="00BE3E58"/>
    <w:rsid w:val="00BE61C8"/>
    <w:rsid w:val="00BF1FF1"/>
    <w:rsid w:val="00C01616"/>
    <w:rsid w:val="00C0162B"/>
    <w:rsid w:val="00C068ED"/>
    <w:rsid w:val="00C22E0C"/>
    <w:rsid w:val="00C24AF1"/>
    <w:rsid w:val="00C345B1"/>
    <w:rsid w:val="00C34692"/>
    <w:rsid w:val="00C40142"/>
    <w:rsid w:val="00C47894"/>
    <w:rsid w:val="00C52C3C"/>
    <w:rsid w:val="00C53DE0"/>
    <w:rsid w:val="00C57182"/>
    <w:rsid w:val="00C57863"/>
    <w:rsid w:val="00C57887"/>
    <w:rsid w:val="00C60220"/>
    <w:rsid w:val="00C640AF"/>
    <w:rsid w:val="00C655FD"/>
    <w:rsid w:val="00C70924"/>
    <w:rsid w:val="00C75407"/>
    <w:rsid w:val="00C841C6"/>
    <w:rsid w:val="00C870A8"/>
    <w:rsid w:val="00C94434"/>
    <w:rsid w:val="00CA0D75"/>
    <w:rsid w:val="00CA1C95"/>
    <w:rsid w:val="00CA380B"/>
    <w:rsid w:val="00CA5A9C"/>
    <w:rsid w:val="00CA7742"/>
    <w:rsid w:val="00CC4C20"/>
    <w:rsid w:val="00CD3498"/>
    <w:rsid w:val="00CD3517"/>
    <w:rsid w:val="00CD5FE2"/>
    <w:rsid w:val="00CD615A"/>
    <w:rsid w:val="00CE7C68"/>
    <w:rsid w:val="00CF10E1"/>
    <w:rsid w:val="00D02B4C"/>
    <w:rsid w:val="00D040C4"/>
    <w:rsid w:val="00D05449"/>
    <w:rsid w:val="00D20AD1"/>
    <w:rsid w:val="00D21673"/>
    <w:rsid w:val="00D2289E"/>
    <w:rsid w:val="00D2582C"/>
    <w:rsid w:val="00D31506"/>
    <w:rsid w:val="00D35F47"/>
    <w:rsid w:val="00D443B8"/>
    <w:rsid w:val="00D46B7E"/>
    <w:rsid w:val="00D51090"/>
    <w:rsid w:val="00D55F3A"/>
    <w:rsid w:val="00D57C84"/>
    <w:rsid w:val="00D6057D"/>
    <w:rsid w:val="00D61CE3"/>
    <w:rsid w:val="00D71640"/>
    <w:rsid w:val="00D736C9"/>
    <w:rsid w:val="00D818FC"/>
    <w:rsid w:val="00D836C5"/>
    <w:rsid w:val="00D84576"/>
    <w:rsid w:val="00D87822"/>
    <w:rsid w:val="00DA1399"/>
    <w:rsid w:val="00DA24C6"/>
    <w:rsid w:val="00DA4D7B"/>
    <w:rsid w:val="00DB646C"/>
    <w:rsid w:val="00DD271C"/>
    <w:rsid w:val="00DE264A"/>
    <w:rsid w:val="00DE74BA"/>
    <w:rsid w:val="00DF5072"/>
    <w:rsid w:val="00E02D18"/>
    <w:rsid w:val="00E041E7"/>
    <w:rsid w:val="00E23CA1"/>
    <w:rsid w:val="00E409A8"/>
    <w:rsid w:val="00E50C12"/>
    <w:rsid w:val="00E64FA0"/>
    <w:rsid w:val="00E65B91"/>
    <w:rsid w:val="00E67807"/>
    <w:rsid w:val="00E67DC8"/>
    <w:rsid w:val="00E71A21"/>
    <w:rsid w:val="00E7209D"/>
    <w:rsid w:val="00E72EAD"/>
    <w:rsid w:val="00E77223"/>
    <w:rsid w:val="00E8528B"/>
    <w:rsid w:val="00E85B94"/>
    <w:rsid w:val="00E9260C"/>
    <w:rsid w:val="00E978D0"/>
    <w:rsid w:val="00E97C51"/>
    <w:rsid w:val="00EA4613"/>
    <w:rsid w:val="00EA7F91"/>
    <w:rsid w:val="00EB1523"/>
    <w:rsid w:val="00EC0E49"/>
    <w:rsid w:val="00EC101F"/>
    <w:rsid w:val="00EC1D9F"/>
    <w:rsid w:val="00ED2553"/>
    <w:rsid w:val="00EE0131"/>
    <w:rsid w:val="00EE17B0"/>
    <w:rsid w:val="00EE62BA"/>
    <w:rsid w:val="00EE64B3"/>
    <w:rsid w:val="00EF06D9"/>
    <w:rsid w:val="00F157C9"/>
    <w:rsid w:val="00F16F36"/>
    <w:rsid w:val="00F21E76"/>
    <w:rsid w:val="00F3049E"/>
    <w:rsid w:val="00F30C64"/>
    <w:rsid w:val="00F32BA2"/>
    <w:rsid w:val="00F32CDB"/>
    <w:rsid w:val="00F51F4C"/>
    <w:rsid w:val="00F55488"/>
    <w:rsid w:val="00F565FE"/>
    <w:rsid w:val="00F63A70"/>
    <w:rsid w:val="00F63D8C"/>
    <w:rsid w:val="00F642CC"/>
    <w:rsid w:val="00F66807"/>
    <w:rsid w:val="00F70A7C"/>
    <w:rsid w:val="00F7534E"/>
    <w:rsid w:val="00F93EDF"/>
    <w:rsid w:val="00FA1802"/>
    <w:rsid w:val="00FA21D0"/>
    <w:rsid w:val="00FA5F5F"/>
    <w:rsid w:val="00FA7DC6"/>
    <w:rsid w:val="00FB01A1"/>
    <w:rsid w:val="00FB052F"/>
    <w:rsid w:val="00FB14A7"/>
    <w:rsid w:val="00FB730C"/>
    <w:rsid w:val="00FC2695"/>
    <w:rsid w:val="00FC3E03"/>
    <w:rsid w:val="00FC3FC1"/>
    <w:rsid w:val="00FD74F1"/>
    <w:rsid w:val="00FE69F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398770"/>
  <w15:docId w15:val="{8977355A-2C57-49A9-8571-46061E38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eastAsia="Times New Roman" w:cs="Times New Roman"/>
      <w:sz w:val="32"/>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eastAsia="Times New Roman" w:cs="Times New Roman"/>
      <w:b/>
      <w:sz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eastAsia="Times New Roman" w:cs="Times New Roman"/>
      <w:lang w:val="en-US"/>
    </w:rPr>
  </w:style>
  <w:style w:type="paragraph" w:customStyle="1" w:styleId="CETheadingx">
    <w:name w:val="CET headingx"/>
    <w:next w:val="CETBodytext"/>
    <w:link w:val="CETheadingxCarattere"/>
    <w:autoRedefine/>
    <w:qFormat/>
    <w:rsid w:val="00A6643D"/>
    <w:pPr>
      <w:keepNext/>
      <w:numPr>
        <w:ilvl w:val="2"/>
        <w:numId w:val="1"/>
      </w:numPr>
      <w:suppressAutoHyphens/>
      <w:spacing w:before="360" w:after="120" w:line="240" w:lineRule="auto"/>
    </w:pPr>
    <w:rPr>
      <w:rFonts w:eastAsia="Times New Roman" w:cs="Times New Roman"/>
      <w:b/>
      <w:lang w:val="en-US"/>
    </w:rPr>
  </w:style>
  <w:style w:type="paragraph" w:customStyle="1" w:styleId="CETAddress">
    <w:name w:val="CET Address"/>
    <w:link w:val="CETAddressCarattere"/>
    <w:qFormat/>
    <w:rsid w:val="009E788A"/>
    <w:pPr>
      <w:keepNext/>
      <w:suppressAutoHyphens/>
      <w:spacing w:after="0"/>
      <w:contextualSpacing/>
    </w:pPr>
    <w:rPr>
      <w:rFonts w:eastAsia="Times New Roman" w:cs="Times New Roman"/>
      <w:noProof/>
      <w:sz w:val="16"/>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eastAsia="Times New Roman" w:cs="Times New Roman"/>
      <w:b/>
      <w:lang w:val="en-GB"/>
    </w:rPr>
  </w:style>
  <w:style w:type="paragraph" w:customStyle="1" w:styleId="CETCaption">
    <w:name w:val="CET Caption"/>
    <w:link w:val="CETCaptionCarattere"/>
    <w:qFormat/>
    <w:rsid w:val="00F7534E"/>
    <w:pPr>
      <w:spacing w:before="240" w:after="240" w:line="264" w:lineRule="auto"/>
      <w:jc w:val="both"/>
    </w:pPr>
    <w:rPr>
      <w:rFonts w:eastAsia="Times New Roman" w:cs="Times New Roman"/>
      <w:i/>
      <w:lang w:val="en-GB"/>
    </w:rPr>
  </w:style>
  <w:style w:type="character" w:customStyle="1" w:styleId="CETheadingxCarattere">
    <w:name w:val="CET headingx Carattere"/>
    <w:link w:val="CETheadingx"/>
    <w:rsid w:val="00A6643D"/>
    <w:rPr>
      <w:rFonts w:eastAsia="Times New Roman" w:cs="Times New Roman"/>
      <w:b/>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eastAsia="Times New Roman" w:cs="Times New Roman"/>
      <w:noProof/>
      <w:sz w:val="16"/>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eastAsia="Times New Roman" w:cs="Times New Roman"/>
      <w:lang w:val="en-GB"/>
    </w:rPr>
  </w:style>
  <w:style w:type="paragraph" w:customStyle="1" w:styleId="CETnumbering1">
    <w:name w:val="CET numbering (1"/>
    <w:aliases w:val="2..)"/>
    <w:rsid w:val="00B57B36"/>
    <w:pPr>
      <w:numPr>
        <w:numId w:val="14"/>
      </w:numPr>
      <w:spacing w:after="0" w:line="264" w:lineRule="auto"/>
      <w:ind w:left="340" w:hanging="227"/>
    </w:pPr>
    <w:rPr>
      <w:rFonts w:eastAsia="Times New Roman" w:cs="Times New Roman"/>
      <w:lang w:val="en-US"/>
    </w:rPr>
  </w:style>
  <w:style w:type="paragraph" w:customStyle="1" w:styleId="CETnumberinga">
    <w:name w:val="CET numbering (a"/>
    <w:aliases w:val="b,..)"/>
    <w:rsid w:val="00B57B36"/>
    <w:pPr>
      <w:numPr>
        <w:numId w:val="15"/>
      </w:numPr>
      <w:spacing w:after="0" w:line="264" w:lineRule="auto"/>
    </w:pPr>
    <w:rPr>
      <w:rFonts w:eastAsia="Times New Roman" w:cs="Times New Roman"/>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eastAsia="Times New Roman" w:cs="Times New Roman"/>
      <w:lang w:val="en-GB"/>
    </w:rPr>
  </w:style>
  <w:style w:type="paragraph" w:customStyle="1" w:styleId="CETReferencetext">
    <w:name w:val="CET Reference text"/>
    <w:qFormat/>
    <w:rsid w:val="00600535"/>
    <w:pPr>
      <w:spacing w:after="0" w:line="264" w:lineRule="auto"/>
      <w:ind w:left="284" w:hanging="284"/>
      <w:jc w:val="both"/>
    </w:pPr>
    <w:rPr>
      <w:rFonts w:eastAsia="Times New Roman" w:cs="Times New Roman"/>
      <w:lang w:val="en-GB"/>
    </w:rPr>
  </w:style>
  <w:style w:type="paragraph" w:customStyle="1" w:styleId="CETTabletitle">
    <w:name w:val="CET Table title"/>
    <w:qFormat/>
    <w:rsid w:val="00600535"/>
    <w:pPr>
      <w:keepNext/>
      <w:spacing w:before="240" w:after="80" w:line="240" w:lineRule="exact"/>
    </w:pPr>
    <w:rPr>
      <w:rFonts w:eastAsia="Times New Roman" w:cs="Times New Roman"/>
      <w:i/>
      <w:lang w:val="en-GB"/>
    </w:rPr>
  </w:style>
  <w:style w:type="paragraph" w:customStyle="1" w:styleId="CETAcknowledgementstitle">
    <w:name w:val="CET Acknowledgements title"/>
    <w:next w:val="CETBodytext"/>
    <w:qFormat/>
    <w:rsid w:val="00600535"/>
    <w:pPr>
      <w:spacing w:before="200" w:after="120"/>
    </w:pPr>
    <w:rPr>
      <w:rFonts w:eastAsia="Times New Roman" w:cs="Times New Roman"/>
      <w:b/>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6B42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38604064">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9F17-7335-4B42-8C29-5C2ADB81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3268</Words>
  <Characters>18633</Characters>
  <Application>Microsoft Office Word</Application>
  <DocSecurity>0</DocSecurity>
  <Lines>155</Lines>
  <Paragraphs>43</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2</cp:revision>
  <cp:lastPrinted>2026-04-08T17:46:00Z</cp:lastPrinted>
  <dcterms:created xsi:type="dcterms:W3CDTF">2026-05-11T08:34:00Z</dcterms:created>
  <dcterms:modified xsi:type="dcterms:W3CDTF">2026-05-11T08:34:00Z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